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theme/theme1.xml" ContentType="application/vnd.openxmlformats-officedocument.theme+xml"/>
  <Override PartName="/word/endnotes.xml" ContentType="application/vnd.openxmlformats-officedocument.wordprocessingml.endnotes+xml"/>
  <Override PartName="/word/glossary/fontTable.xml" ContentType="application/vnd.openxmlformats-officedocument.wordprocessingml.fontTable+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r>
      <w:r/>
    </w:p>
    <w:p>
      <w:pPr>
        <w:jc w:val="center"/>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r>
      <w:r/>
    </w:p>
    <w:p>
      <w:pPr>
        <w:jc w:val="center"/>
        <w:spacing w:before="120" w:after="120" w:line="480" w:lineRule="auto"/>
        <w:rPr>
          <w:rFonts w:hint="eastAsia" w:ascii="仿宋" w:hAnsi="仿宋" w:eastAsia="仿宋" w:cs="仿宋"/>
          <w:b/>
          <w:bCs/>
          <w:color w:val="auto"/>
          <w:sz w:val="84"/>
          <w:szCs w:val="24"/>
          <w:highlight w:val="none"/>
        </w:rPr>
        <w:outlineLvl w:val="9"/>
      </w:pPr>
      <w:r>
        <w:rPr>
          <w:rFonts w:hint="eastAsia" w:ascii="仿宋" w:hAnsi="仿宋" w:eastAsia="仿宋" w:cs="仿宋"/>
          <w:b/>
          <w:bCs/>
          <w:color w:val="auto"/>
          <w:sz w:val="84"/>
          <w:szCs w:val="24"/>
          <w:highlight w:val="none"/>
        </w:rPr>
        <w:t xml:space="preserve">竞争性磋商文件</w:t>
      </w:r>
      <w:r/>
    </w:p>
    <w:tbl>
      <w:tblPr>
        <w:tblStyle w:val="697"/>
        <w:tblW w:w="8667" w:type="dxa"/>
        <w:jc w:val="center"/>
        <w:tblLayout w:type="fixed"/>
        <w:tblCellMar>
          <w:left w:w="108" w:type="dxa"/>
          <w:top w:w="0" w:type="dxa"/>
          <w:right w:w="108" w:type="dxa"/>
          <w:bottom w:w="0" w:type="dxa"/>
        </w:tblCellMar>
        <w:tblLook w:val="04A0" w:firstRow="1" w:lastRow="0" w:firstColumn="1" w:lastColumn="0" w:noHBand="0" w:noVBand="1"/>
      </w:tblPr>
      <w:tblGrid>
        <w:gridCol w:w="2215"/>
        <w:gridCol w:w="335"/>
        <w:gridCol w:w="6117"/>
      </w:tblGrid>
      <w:tr>
        <w:trPr>
          <w:jc w:val="center"/>
          <w:trHeight w:val="1559"/>
        </w:trPr>
        <w:tc>
          <w:tcPr>
            <w:tcW w:w="2215" w:type="dxa"/>
            <w:vAlign w:val="center"/>
            <w:textDirection w:val="lrTb"/>
            <w:noWrap w:val="false"/>
          </w:tcPr>
          <w:p>
            <w:pPr>
              <w:jc w:val="left"/>
              <w:spacing w:before="120" w:after="120" w:line="360" w:lineRule="auto"/>
              <w:rPr>
                <w:rFonts w:hint="eastAsia" w:ascii="仿宋" w:hAnsi="仿宋" w:eastAsia="仿宋" w:cs="仿宋"/>
                <w:highlight w:val="none"/>
              </w:rPr>
            </w:pPr>
            <w:r>
              <w:rPr>
                <w:rFonts w:hint="eastAsia" w:ascii="仿宋" w:hAnsi="仿宋" w:eastAsia="仿宋" w:cs="仿宋"/>
                <w:b/>
                <w:bCs/>
                <w:spacing w:val="106"/>
                <w:sz w:val="32"/>
                <w:szCs w:val="24"/>
                <w:highlight w:val="none"/>
              </w:rPr>
              <w:t xml:space="preserve">项目名</w:t>
            </w:r>
            <w:r>
              <w:rPr>
                <w:rFonts w:hint="eastAsia" w:ascii="仿宋" w:hAnsi="仿宋" w:eastAsia="仿宋" w:cs="仿宋"/>
                <w:b/>
                <w:bCs/>
                <w:spacing w:val="2"/>
                <w:sz w:val="32"/>
                <w:szCs w:val="24"/>
                <w:highlight w:val="none"/>
              </w:rPr>
              <w:t xml:space="preserve">称</w:t>
            </w:r>
            <w:r/>
          </w:p>
        </w:tc>
        <w:tc>
          <w:tcPr>
            <w:tcW w:w="335" w:type="dxa"/>
            <w:vAlign w:val="center"/>
            <w:textDirection w:val="lrTb"/>
            <w:noWrap w:val="false"/>
          </w:tcPr>
          <w:p>
            <w:pPr>
              <w:jc w:val="left"/>
              <w:spacing w:before="120" w:after="120" w:line="360" w:lineRule="auto"/>
              <w:rPr>
                <w:rFonts w:hint="eastAsia" w:ascii="仿宋" w:hAnsi="仿宋" w:eastAsia="仿宋" w:cs="仿宋"/>
                <w:highlight w:val="none"/>
              </w:rPr>
            </w:pPr>
            <w:r>
              <w:rPr>
                <w:rFonts w:hint="eastAsia" w:ascii="仿宋" w:hAnsi="仿宋" w:eastAsia="仿宋" w:cs="仿宋"/>
                <w:b/>
                <w:bCs/>
                <w:sz w:val="32"/>
                <w:szCs w:val="24"/>
                <w:highlight w:val="none"/>
              </w:rPr>
              <w:t xml:space="preserve">：</w:t>
            </w:r>
            <w:r/>
          </w:p>
        </w:tc>
        <w:tc>
          <w:tcPr>
            <w:tcW w:w="6117" w:type="dxa"/>
            <w:vAlign w:val="center"/>
            <w:textDirection w:val="lrTb"/>
            <w:noWrap w:val="false"/>
          </w:tcPr>
          <w:p>
            <w:pPr>
              <w:jc w:val="left"/>
              <w:spacing w:before="120" w:after="120" w:line="480" w:lineRule="auto"/>
              <w:rPr>
                <w:rFonts w:hint="eastAsia" w:ascii="仿宋" w:hAnsi="仿宋" w:eastAsia="仿宋" w:cs="仿宋"/>
                <w:highlight w:val="none"/>
              </w:rPr>
              <w:outlineLvl w:val="9"/>
            </w:pPr>
            <w:r>
              <w:rPr>
                <w:rFonts w:hint="eastAsia" w:ascii="仿宋" w:hAnsi="仿宋" w:eastAsia="仿宋" w:cs="仿宋"/>
                <w:b/>
                <w:bCs/>
                <w:color w:val="auto"/>
                <w:sz w:val="32"/>
                <w:szCs w:val="24"/>
                <w:highlight w:val="none"/>
                <w:u w:val="none"/>
                <w:lang w:eastAsia="zh-CN"/>
              </w:rPr>
              <w:t xml:space="preserve">宿迁幼儿师范高等专科学校泽园一、二、三宿舍公寓化维修改造工程</w:t>
            </w:r>
            <w:r/>
          </w:p>
        </w:tc>
      </w:tr>
      <w:tr>
        <w:trPr>
          <w:jc w:val="center"/>
        </w:trPr>
        <w:tc>
          <w:tcPr>
            <w:tcW w:w="2215" w:type="dxa"/>
            <w:vAlign w:val="center"/>
            <w:textDirection w:val="lrTb"/>
            <w:noWrap w:val="false"/>
          </w:tcPr>
          <w:p>
            <w:pPr>
              <w:jc w:val="left"/>
              <w:spacing w:before="120" w:after="120" w:line="360" w:lineRule="auto"/>
              <w:rPr>
                <w:rFonts w:hint="eastAsia" w:ascii="仿宋" w:hAnsi="仿宋" w:eastAsia="仿宋" w:cs="仿宋"/>
                <w:highlight w:val="none"/>
              </w:rPr>
            </w:pPr>
            <w:r>
              <w:rPr>
                <w:rFonts w:hint="eastAsia" w:ascii="仿宋" w:hAnsi="仿宋" w:eastAsia="仿宋" w:cs="仿宋"/>
                <w:b/>
                <w:bCs/>
                <w:spacing w:val="106"/>
                <w:sz w:val="32"/>
                <w:szCs w:val="24"/>
                <w:highlight w:val="none"/>
              </w:rPr>
              <w:t xml:space="preserve">项目编</w:t>
            </w:r>
            <w:r>
              <w:rPr>
                <w:rFonts w:hint="eastAsia" w:ascii="仿宋" w:hAnsi="仿宋" w:eastAsia="仿宋" w:cs="仿宋"/>
                <w:b/>
                <w:bCs/>
                <w:spacing w:val="2"/>
                <w:sz w:val="32"/>
                <w:szCs w:val="24"/>
                <w:highlight w:val="none"/>
              </w:rPr>
              <w:t xml:space="preserve">号</w:t>
            </w:r>
            <w:r/>
          </w:p>
        </w:tc>
        <w:tc>
          <w:tcPr>
            <w:tcW w:w="335" w:type="dxa"/>
            <w:vAlign w:val="center"/>
            <w:textDirection w:val="lrTb"/>
            <w:noWrap w:val="false"/>
          </w:tcPr>
          <w:p>
            <w:pPr>
              <w:jc w:val="left"/>
              <w:spacing w:before="120" w:after="120" w:line="360" w:lineRule="auto"/>
              <w:rPr>
                <w:rFonts w:hint="eastAsia" w:ascii="仿宋" w:hAnsi="仿宋" w:eastAsia="仿宋" w:cs="仿宋"/>
                <w:highlight w:val="none"/>
              </w:rPr>
            </w:pPr>
            <w:r>
              <w:rPr>
                <w:rFonts w:hint="eastAsia" w:ascii="仿宋" w:hAnsi="仿宋" w:eastAsia="仿宋" w:cs="仿宋"/>
                <w:b/>
                <w:bCs/>
                <w:sz w:val="32"/>
                <w:szCs w:val="24"/>
                <w:highlight w:val="none"/>
              </w:rPr>
              <w:t xml:space="preserve">：</w:t>
            </w:r>
            <w:r/>
          </w:p>
        </w:tc>
        <w:tc>
          <w:tcPr>
            <w:tcW w:w="6117" w:type="dxa"/>
            <w:vAlign w:val="center"/>
            <w:textDirection w:val="lrTb"/>
            <w:noWrap w:val="false"/>
          </w:tcPr>
          <w:p>
            <w:pPr>
              <w:jc w:val="left"/>
              <w:spacing w:before="120" w:after="120" w:line="360" w:lineRule="auto"/>
              <w:rPr>
                <w:rFonts w:hint="eastAsia" w:ascii="仿宋" w:hAnsi="仿宋" w:eastAsia="仿宋" w:cs="仿宋"/>
                <w:highlight w:val="none"/>
              </w:rPr>
            </w:pPr>
            <w:r>
              <w:rPr>
                <w:rFonts w:hint="eastAsia" w:ascii="仿宋" w:hAnsi="仿宋" w:eastAsia="仿宋" w:cs="仿宋"/>
                <w:b/>
                <w:bCs/>
                <w:color w:val="auto"/>
                <w:sz w:val="32"/>
                <w:szCs w:val="24"/>
                <w:highlight w:val="none"/>
                <w:u w:val="none"/>
                <w:lang w:eastAsia="zh-CN"/>
              </w:rPr>
              <w:t xml:space="preserve">JSZC-321300-SCYH-C2026-0011</w:t>
            </w:r>
            <w:r/>
          </w:p>
        </w:tc>
      </w:tr>
    </w:tbl>
    <w:p>
      <w:pPr>
        <w:ind w:firstLine="1285"/>
        <w:jc w:val="left"/>
        <w:spacing w:before="120" w:after="120" w:line="480" w:lineRule="auto"/>
        <w:rPr>
          <w:rFonts w:hint="eastAsia" w:ascii="仿宋" w:hAnsi="仿宋" w:eastAsia="仿宋" w:cs="仿宋"/>
          <w:b/>
          <w:color w:val="auto"/>
          <w:sz w:val="30"/>
          <w:szCs w:val="30"/>
          <w:highlight w:val="none"/>
          <w:lang w:eastAsia="zh-CN"/>
        </w:rPr>
        <w:outlineLvl w:val="9"/>
      </w:pPr>
      <w:r>
        <w:rPr>
          <w:rFonts w:hint="eastAsia" w:ascii="仿宋" w:hAnsi="仿宋" w:eastAsia="仿宋" w:cs="仿宋"/>
          <w:b/>
          <w:bCs/>
          <w:color w:val="auto"/>
          <w:sz w:val="32"/>
          <w:szCs w:val="24"/>
          <w:highlight w:val="none"/>
        </w:rPr>
        <w:t xml:space="preserve">（</w:t>
      </w:r>
      <w:r>
        <w:rPr>
          <w:rFonts w:hint="eastAsia" w:ascii="仿宋" w:hAnsi="仿宋" w:eastAsia="仿宋" w:cs="仿宋"/>
          <w:b/>
          <w:bCs/>
          <w:color w:val="auto"/>
          <w:sz w:val="32"/>
          <w:szCs w:val="24"/>
          <w:highlight w:val="none"/>
          <w:u w:val="single"/>
        </w:rPr>
        <w:t xml:space="preserve">工程</w:t>
      </w:r>
      <w:r>
        <w:rPr>
          <w:rFonts w:hint="eastAsia" w:ascii="仿宋" w:hAnsi="仿宋" w:eastAsia="仿宋" w:cs="仿宋"/>
          <w:b/>
          <w:bCs/>
          <w:color w:val="auto"/>
          <w:sz w:val="32"/>
          <w:szCs w:val="24"/>
          <w:highlight w:val="none"/>
        </w:rPr>
        <w:t xml:space="preserve">类项目，本项目</w:t>
      </w:r>
      <w:r>
        <w:rPr>
          <w:rFonts w:hint="eastAsia" w:ascii="仿宋" w:hAnsi="仿宋" w:eastAsia="仿宋" w:cs="仿宋"/>
          <w:b/>
          <w:bCs/>
          <w:color w:val="auto"/>
          <w:sz w:val="32"/>
          <w:szCs w:val="24"/>
          <w:highlight w:val="none"/>
          <w:u w:val="single"/>
          <w:lang w:val="en-US" w:eastAsia="zh-CN"/>
        </w:rPr>
        <w:t xml:space="preserve">是</w:t>
      </w:r>
      <w:r>
        <w:rPr>
          <w:rFonts w:hint="eastAsia" w:ascii="仿宋" w:hAnsi="仿宋" w:eastAsia="仿宋" w:cs="仿宋"/>
          <w:b/>
          <w:bCs/>
          <w:color w:val="auto"/>
          <w:sz w:val="32"/>
          <w:szCs w:val="24"/>
          <w:highlight w:val="none"/>
        </w:rPr>
        <w:t xml:space="preserve">专门面向中小企业）</w:t>
      </w:r>
      <w:r/>
    </w:p>
    <w:p>
      <w:pPr>
        <w:jc w:val="left"/>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bl>
      <w:tblPr>
        <w:tblStyle w:val="697"/>
        <w:tblW w:w="0" w:type="auto"/>
        <w:jc w:val="center"/>
        <w:tblLayout w:type="fixed"/>
        <w:tblCellMar>
          <w:left w:w="108" w:type="dxa"/>
          <w:top w:w="0" w:type="dxa"/>
          <w:right w:w="108" w:type="dxa"/>
          <w:bottom w:w="0" w:type="dxa"/>
        </w:tblCellMar>
        <w:tblLook w:val="04A0" w:firstRow="1" w:lastRow="0" w:firstColumn="1" w:lastColumn="0" w:noHBand="0" w:noVBand="1"/>
      </w:tblPr>
      <w:tblGrid>
        <w:gridCol w:w="2216"/>
        <w:gridCol w:w="334"/>
        <w:gridCol w:w="5779"/>
      </w:tblGrid>
      <w:tr>
        <w:trPr>
          <w:jc w:val="center"/>
        </w:trPr>
        <w:tc>
          <w:tcPr>
            <w:tcW w:w="2216" w:type="dxa"/>
            <w:vAlign w:val="center"/>
            <w:textDirection w:val="lrTb"/>
            <w:noWrap w:val="false"/>
          </w:tcPr>
          <w:p>
            <w:pPr>
              <w:ind w:firstLine="0"/>
              <w:jc w:val="both"/>
              <w:spacing w:before="120" w:after="120" w:line="360" w:lineRule="auto"/>
              <w:widowControl w:val="off"/>
              <w:rPr>
                <w:rFonts w:hint="eastAsia" w:ascii="仿宋" w:hAnsi="仿宋" w:eastAsia="仿宋" w:cs="仿宋"/>
                <w:b/>
                <w:bCs/>
                <w:sz w:val="32"/>
                <w:szCs w:val="24"/>
                <w:highlight w:val="none"/>
                <w:lang w:val="en-US" w:eastAsia="zh-CN" w:bidi="ar-SA"/>
              </w:rPr>
            </w:pPr>
            <w:r>
              <w:rPr>
                <w:rFonts w:hint="eastAsia" w:ascii="仿宋" w:hAnsi="仿宋" w:eastAsia="仿宋" w:cs="仿宋"/>
                <w:b/>
                <w:bCs/>
                <w:sz w:val="32"/>
                <w:szCs w:val="24"/>
                <w:highlight w:val="none"/>
                <w:lang w:val="en-US" w:eastAsia="zh-CN" w:bidi="ar-SA"/>
              </w:rPr>
              <w:t xml:space="preserve">采购人</w:t>
            </w:r>
            <w:r/>
          </w:p>
        </w:tc>
        <w:tc>
          <w:tcPr>
            <w:tcW w:w="334" w:type="dxa"/>
            <w:vAlign w:val="center"/>
            <w:textDirection w:val="lrTb"/>
            <w:noWrap w:val="false"/>
          </w:tcPr>
          <w:p>
            <w:pPr>
              <w:ind w:firstLine="0"/>
              <w:jc w:val="both"/>
              <w:spacing w:before="120" w:after="120" w:line="360" w:lineRule="auto"/>
              <w:widowControl w:val="off"/>
              <w:rPr>
                <w:rFonts w:hint="eastAsia" w:ascii="仿宋" w:hAnsi="仿宋" w:eastAsia="仿宋" w:cs="仿宋"/>
                <w:b/>
                <w:bCs/>
                <w:sz w:val="32"/>
                <w:szCs w:val="24"/>
                <w:highlight w:val="none"/>
                <w:lang w:val="en-US" w:eastAsia="zh-CN" w:bidi="ar-SA"/>
              </w:rPr>
            </w:pPr>
            <w:r>
              <w:rPr>
                <w:rFonts w:hint="eastAsia" w:ascii="仿宋" w:hAnsi="仿宋" w:eastAsia="仿宋" w:cs="仿宋"/>
                <w:b/>
                <w:bCs/>
                <w:sz w:val="32"/>
                <w:szCs w:val="24"/>
                <w:highlight w:val="none"/>
                <w:lang w:val="en-US" w:eastAsia="zh-CN" w:bidi="ar-SA"/>
              </w:rPr>
              <w:t xml:space="preserve">：</w:t>
            </w:r>
            <w:r/>
          </w:p>
        </w:tc>
        <w:tc>
          <w:tcPr>
            <w:tcW w:w="5779" w:type="dxa"/>
            <w:vAlign w:val="center"/>
            <w:textDirection w:val="lrTb"/>
            <w:noWrap w:val="false"/>
          </w:tcPr>
          <w:p>
            <w:pPr>
              <w:ind w:firstLine="0"/>
              <w:jc w:val="both"/>
              <w:spacing w:before="120" w:after="120" w:line="360" w:lineRule="auto"/>
              <w:widowControl w:val="off"/>
              <w:rPr>
                <w:rFonts w:hint="eastAsia" w:ascii="仿宋" w:hAnsi="仿宋" w:eastAsia="仿宋" w:cs="仿宋"/>
                <w:b/>
                <w:bCs/>
                <w:sz w:val="32"/>
                <w:szCs w:val="24"/>
                <w:highlight w:val="none"/>
                <w:lang w:val="en-US" w:eastAsia="zh-CN" w:bidi="ar-SA"/>
              </w:rPr>
            </w:pPr>
            <w:r>
              <w:rPr>
                <w:rFonts w:hint="eastAsia" w:ascii="仿宋" w:hAnsi="仿宋" w:eastAsia="仿宋" w:cs="仿宋"/>
                <w:b/>
                <w:bCs/>
                <w:sz w:val="32"/>
                <w:szCs w:val="24"/>
                <w:highlight w:val="none"/>
                <w:lang w:val="en-US" w:eastAsia="zh-CN" w:bidi="ar-SA"/>
              </w:rPr>
              <w:t xml:space="preserve">宿迁幼儿师范高等专科学校</w:t>
            </w:r>
            <w:r/>
          </w:p>
        </w:tc>
      </w:tr>
      <w:tr>
        <w:trPr>
          <w:jc w:val="center"/>
        </w:trPr>
        <w:tc>
          <w:tcPr>
            <w:tcW w:w="2216" w:type="dxa"/>
            <w:vAlign w:val="center"/>
            <w:textDirection w:val="lrTb"/>
            <w:noWrap w:val="false"/>
          </w:tcPr>
          <w:p>
            <w:pPr>
              <w:ind w:firstLine="0"/>
              <w:jc w:val="both"/>
              <w:spacing w:before="120" w:after="120" w:line="360" w:lineRule="auto"/>
              <w:widowControl w:val="off"/>
              <w:rPr>
                <w:rFonts w:hint="eastAsia" w:ascii="仿宋" w:hAnsi="仿宋" w:eastAsia="仿宋" w:cs="仿宋"/>
                <w:b/>
                <w:bCs/>
                <w:sz w:val="32"/>
                <w:szCs w:val="24"/>
                <w:highlight w:val="none"/>
                <w:lang w:val="en-US" w:eastAsia="zh-CN" w:bidi="ar-SA"/>
              </w:rPr>
            </w:pPr>
            <w:r>
              <w:rPr>
                <w:rFonts w:hint="eastAsia" w:ascii="仿宋" w:hAnsi="仿宋" w:eastAsia="仿宋" w:cs="仿宋"/>
                <w:b/>
                <w:bCs/>
                <w:sz w:val="32"/>
                <w:szCs w:val="24"/>
                <w:highlight w:val="none"/>
                <w:lang w:val="en-US" w:eastAsia="zh-CN" w:bidi="ar-SA"/>
              </w:rPr>
              <w:t xml:space="preserve">采购代理机构</w:t>
            </w:r>
            <w:r/>
          </w:p>
        </w:tc>
        <w:tc>
          <w:tcPr>
            <w:tcW w:w="334" w:type="dxa"/>
            <w:vAlign w:val="center"/>
            <w:textDirection w:val="lrTb"/>
            <w:noWrap w:val="false"/>
          </w:tcPr>
          <w:p>
            <w:pPr>
              <w:ind w:firstLine="0"/>
              <w:jc w:val="both"/>
              <w:spacing w:before="120" w:after="120" w:line="360" w:lineRule="auto"/>
              <w:widowControl w:val="off"/>
              <w:rPr>
                <w:rFonts w:hint="eastAsia" w:ascii="仿宋" w:hAnsi="仿宋" w:eastAsia="仿宋" w:cs="仿宋"/>
                <w:b/>
                <w:bCs/>
                <w:sz w:val="32"/>
                <w:szCs w:val="24"/>
                <w:highlight w:val="none"/>
                <w:lang w:val="en-US" w:eastAsia="zh-CN" w:bidi="ar-SA"/>
              </w:rPr>
            </w:pPr>
            <w:r>
              <w:rPr>
                <w:rFonts w:hint="eastAsia" w:ascii="仿宋" w:hAnsi="仿宋" w:eastAsia="仿宋" w:cs="仿宋"/>
                <w:b/>
                <w:bCs/>
                <w:sz w:val="32"/>
                <w:szCs w:val="24"/>
                <w:highlight w:val="none"/>
                <w:lang w:val="en-US" w:eastAsia="zh-CN" w:bidi="ar-SA"/>
              </w:rPr>
              <w:t xml:space="preserve">：</w:t>
            </w:r>
            <w:r/>
          </w:p>
        </w:tc>
        <w:tc>
          <w:tcPr>
            <w:tcW w:w="5779" w:type="dxa"/>
            <w:vAlign w:val="center"/>
            <w:textDirection w:val="lrTb"/>
            <w:noWrap w:val="false"/>
          </w:tcPr>
          <w:p>
            <w:pPr>
              <w:ind w:firstLine="0"/>
              <w:jc w:val="both"/>
              <w:spacing w:before="120" w:after="120" w:line="360" w:lineRule="auto"/>
              <w:widowControl w:val="off"/>
              <w:rPr>
                <w:rFonts w:hint="eastAsia" w:ascii="仿宋" w:hAnsi="仿宋" w:eastAsia="仿宋" w:cs="仿宋"/>
                <w:b/>
                <w:bCs/>
                <w:sz w:val="32"/>
                <w:szCs w:val="24"/>
                <w:highlight w:val="none"/>
                <w:lang w:val="en-US" w:eastAsia="zh-CN" w:bidi="ar-SA"/>
              </w:rPr>
            </w:pPr>
            <w:r>
              <w:rPr>
                <w:rFonts w:hint="eastAsia" w:ascii="仿宋" w:hAnsi="仿宋" w:eastAsia="仿宋" w:cs="仿宋"/>
                <w:b/>
                <w:bCs/>
                <w:sz w:val="32"/>
                <w:szCs w:val="24"/>
                <w:highlight w:val="none"/>
                <w:lang w:val="en-US" w:eastAsia="zh-CN" w:bidi="ar-SA"/>
              </w:rPr>
              <w:t xml:space="preserve">宿迁恒新工程项目咨询有限公司</w:t>
            </w:r>
            <w:r/>
          </w:p>
        </w:tc>
      </w:tr>
      <w:tr>
        <w:trPr>
          <w:jc w:val="center"/>
        </w:trPr>
        <w:tc>
          <w:tcPr>
            <w:tcW w:w="2216" w:type="dxa"/>
            <w:vAlign w:val="center"/>
            <w:textDirection w:val="lrTb"/>
            <w:noWrap w:val="false"/>
          </w:tcPr>
          <w:p>
            <w:pPr>
              <w:ind w:firstLine="0"/>
              <w:jc w:val="both"/>
              <w:spacing w:before="120" w:after="120" w:line="360" w:lineRule="auto"/>
              <w:widowControl w:val="off"/>
              <w:rPr>
                <w:rFonts w:hint="eastAsia" w:ascii="仿宋" w:hAnsi="仿宋" w:eastAsia="仿宋" w:cs="仿宋"/>
                <w:b/>
                <w:bCs/>
                <w:sz w:val="32"/>
                <w:szCs w:val="24"/>
                <w:highlight w:val="none"/>
                <w:lang w:val="en-US" w:eastAsia="zh-CN" w:bidi="ar-SA"/>
              </w:rPr>
            </w:pPr>
            <w:r>
              <w:rPr>
                <w:rFonts w:hint="eastAsia" w:ascii="仿宋" w:hAnsi="仿宋" w:eastAsia="仿宋" w:cs="仿宋"/>
                <w:b/>
                <w:bCs/>
                <w:sz w:val="32"/>
                <w:szCs w:val="24"/>
                <w:highlight w:val="none"/>
                <w:lang w:val="en-US" w:eastAsia="zh-CN" w:bidi="ar-SA"/>
              </w:rPr>
              <w:t xml:space="preserve">日期</w:t>
            </w:r>
            <w:r/>
          </w:p>
        </w:tc>
        <w:tc>
          <w:tcPr>
            <w:tcW w:w="334" w:type="dxa"/>
            <w:vAlign w:val="center"/>
            <w:textDirection w:val="lrTb"/>
            <w:noWrap w:val="false"/>
          </w:tcPr>
          <w:p>
            <w:pPr>
              <w:ind w:firstLine="0"/>
              <w:jc w:val="both"/>
              <w:spacing w:before="120" w:after="120" w:line="360" w:lineRule="auto"/>
              <w:widowControl w:val="off"/>
              <w:rPr>
                <w:rFonts w:hint="eastAsia" w:ascii="仿宋" w:hAnsi="仿宋" w:eastAsia="仿宋" w:cs="仿宋"/>
                <w:b/>
                <w:bCs/>
                <w:sz w:val="32"/>
                <w:szCs w:val="24"/>
                <w:highlight w:val="none"/>
                <w:lang w:val="en-US" w:eastAsia="zh-CN" w:bidi="ar-SA"/>
              </w:rPr>
            </w:pPr>
            <w:r>
              <w:rPr>
                <w:rFonts w:hint="eastAsia" w:ascii="仿宋" w:hAnsi="仿宋" w:eastAsia="仿宋" w:cs="仿宋"/>
                <w:b/>
                <w:bCs/>
                <w:sz w:val="32"/>
                <w:szCs w:val="24"/>
                <w:highlight w:val="none"/>
                <w:lang w:val="en-US" w:eastAsia="zh-CN" w:bidi="ar-SA"/>
              </w:rPr>
              <w:t xml:space="preserve">：</w:t>
            </w:r>
            <w:r/>
          </w:p>
        </w:tc>
        <w:tc>
          <w:tcPr>
            <w:tcW w:w="5779" w:type="dxa"/>
            <w:vAlign w:val="center"/>
            <w:textDirection w:val="lrTb"/>
            <w:noWrap w:val="false"/>
          </w:tcPr>
          <w:p>
            <w:pPr>
              <w:ind w:firstLine="0"/>
              <w:jc w:val="both"/>
              <w:spacing w:before="120" w:after="120" w:line="360" w:lineRule="auto"/>
              <w:widowControl w:val="off"/>
              <w:rPr>
                <w:rFonts w:hint="eastAsia" w:ascii="仿宋" w:hAnsi="仿宋" w:eastAsia="仿宋" w:cs="仿宋"/>
                <w:b/>
                <w:bCs/>
                <w:sz w:val="32"/>
                <w:szCs w:val="24"/>
                <w:highlight w:val="none"/>
                <w:lang w:val="en-US" w:eastAsia="zh-CN" w:bidi="ar-SA"/>
              </w:rPr>
            </w:pPr>
            <w:r>
              <w:rPr>
                <w:rFonts w:hint="eastAsia" w:ascii="仿宋" w:hAnsi="仿宋" w:eastAsia="仿宋" w:cs="仿宋"/>
                <w:b/>
                <w:bCs/>
                <w:sz w:val="32"/>
                <w:szCs w:val="24"/>
                <w:highlight w:val="none"/>
                <w:lang w:val="en-US" w:eastAsia="zh-CN" w:bidi="ar-SA"/>
              </w:rPr>
              <w:t xml:space="preserve">2026年5月27日</w:t>
            </w:r>
            <w:r/>
          </w:p>
        </w:tc>
      </w:tr>
    </w:tbl>
    <w:p>
      <w:pPr>
        <w:pStyle w:val="942"/>
        <w:ind w:left="0" w:firstLine="0"/>
        <w:jc w:val="center"/>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r>
      <w:r/>
    </w:p>
    <w:p>
      <w:pPr>
        <w:ind w:left="0" w:right="0" w:firstLine="0"/>
        <w:jc w:val="center"/>
        <w:spacing w:before="0" w:after="0" w:line="240" w:lineRule="auto"/>
        <w:rPr>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p>
      <w:pPr>
        <w:ind w:left="0" w:right="0" w:firstLine="0"/>
        <w:jc w:val="center"/>
        <w:spacing w:before="0" w:after="0" w:line="240" w:lineRule="auto"/>
        <w:rPr>
          <w:rFonts w:hint="eastAsia" w:ascii="仿宋" w:hAnsi="仿宋" w:eastAsia="仿宋" w:cs="仿宋"/>
          <w:b/>
          <w:bCs/>
        </w:rPr>
      </w:pPr>
      <w:r>
        <w:rPr>
          <w:rFonts w:hint="eastAsia" w:ascii="仿宋" w:hAnsi="仿宋" w:eastAsia="仿宋" w:cs="仿宋"/>
          <w:b/>
          <w:bCs/>
          <w:sz w:val="40"/>
          <w:szCs w:val="44"/>
        </w:rPr>
        <w:t xml:space="preserve">目</w:t>
      </w:r>
      <w:r>
        <w:rPr>
          <w:rFonts w:hint="eastAsia" w:ascii="仿宋" w:hAnsi="仿宋" w:eastAsia="仿宋" w:cs="仿宋"/>
          <w:b/>
          <w:bCs/>
          <w:sz w:val="40"/>
          <w:szCs w:val="44"/>
          <w:lang w:val="en-US" w:eastAsia="zh-CN"/>
        </w:rPr>
        <w:t xml:space="preserve">  </w:t>
      </w:r>
      <w:r>
        <w:rPr>
          <w:rFonts w:hint="eastAsia" w:ascii="仿宋" w:hAnsi="仿宋" w:eastAsia="仿宋" w:cs="仿宋"/>
          <w:b/>
          <w:bCs/>
          <w:sz w:val="40"/>
          <w:szCs w:val="44"/>
        </w:rPr>
        <w:t xml:space="preserve">录</w:t>
      </w:r>
      <w:r/>
    </w:p>
    <w:sdt>
      <w:sdtPr>
        <w15:appearance w15:val="boundingBox"/>
        <w:placeholder>
          <w:docPart w:val="DefaultPlaceholder_TEXT"/>
        </w:placeholder>
        <w:docPartObj>
          <w:docPartGallery w:val="Table of Contents"/>
          <w:docPartUnique w:val="true"/>
        </w:docPartObj>
        <w:rPr/>
      </w:sdtPr>
      <w:sdtContent>
        <w:p>
          <w:pPr>
            <w:pStyle w:val="708"/>
            <w:tabs>
              <w:tab w:val="right" w:pos="8953" w:leader="dot"/>
            </w:tabs>
            <w:rPr>
              <w:rFonts w:hint="eastAsia" w:ascii="仿宋" w:hAnsi="仿宋" w:eastAsia="仿宋" w:cs="仿宋"/>
              <w:b/>
              <w:bCs/>
              <w:color w:val="000000" w:themeColor="text1"/>
              <w:highlight w:val="none"/>
              <w:u w:val="none"/>
            </w:rPr>
          </w:pPr>
          <w:r>
            <w:instrText xml:space="preserve">TOC</w:instrText>
          </w:r>
          <w:hyperlink w:tooltip="#_Toc1" w:anchor="_Toc1" w:history="1">
            <w:r>
              <w:rPr>
                <w:rStyle w:val="721"/>
                <w:rFonts w:hint="eastAsia" w:ascii="仿宋" w:hAnsi="仿宋" w:eastAsia="仿宋" w:cs="仿宋"/>
                <w:b/>
                <w:bCs/>
                <w:color w:val="000000" w:themeColor="text1"/>
                <w:highlight w:val="none"/>
                <w:u w:val="none"/>
              </w:rPr>
              <w:t xml:space="preserve">第一章  </w:t>
            </w:r>
            <w:r>
              <w:rPr>
                <w:rStyle w:val="721"/>
                <w:rFonts w:hint="eastAsia" w:ascii="仿宋" w:hAnsi="仿宋" w:eastAsia="仿宋" w:cs="仿宋"/>
                <w:b/>
                <w:bCs/>
                <w:color w:val="000000" w:themeColor="text1"/>
                <w:highlight w:val="none"/>
                <w:u w:val="none"/>
              </w:rPr>
              <w:t xml:space="preserve">磋商邀请</w:t>
            </w:r>
            <w:r>
              <w:rPr>
                <w:rStyle w:val="721"/>
                <w:color w:val="000000" w:themeColor="text1"/>
                <w:u w:val="none"/>
              </w:rPr>
            </w:r>
            <w:r>
              <w:rPr>
                <w:color w:val="000000" w:themeColor="text1"/>
                <w:u w:val="none"/>
              </w:rPr>
              <w:tab/>
            </w:r>
            <w:r>
              <w:rPr>
                <w:color w:val="000000" w:themeColor="text1"/>
                <w:u w:val="none"/>
              </w:rPr>
              <w:fldChar w:fldCharType="begin"/>
              <w:instrText xml:space="preserve">PAGEREF _Toc1 \h</w:instrText>
              <w:fldChar w:fldCharType="separate"/>
              <w:t xml:space="preserve">3</w:t>
              <w:fldChar w:fldCharType="end"/>
            </w:r>
          </w:hyperlink>
          <w:r>
            <w:rPr>
              <w:rFonts w:hint="eastAsia" w:ascii="仿宋" w:hAnsi="仿宋" w:eastAsia="仿宋" w:cs="仿宋"/>
              <w:b/>
              <w:bCs/>
              <w:color w:val="000000" w:themeColor="text1"/>
              <w:highlight w:val="none"/>
              <w:u w:val="none"/>
            </w:rPr>
          </w:r>
          <w:r>
            <w:rPr>
              <w:color w:val="000000" w:themeColor="text1"/>
              <w:u w:val="none"/>
            </w:rPr>
          </w:r>
        </w:p>
        <w:p>
          <w:pPr>
            <w:pStyle w:val="708"/>
            <w:tabs>
              <w:tab w:val="right" w:pos="8953" w:leader="dot"/>
            </w:tabs>
            <w:rPr>
              <w:rFonts w:hint="eastAsia" w:ascii="仿宋" w:hAnsi="仿宋" w:eastAsia="仿宋" w:cs="仿宋"/>
              <w:color w:val="000000" w:themeColor="text1"/>
              <w:highlight w:val="none"/>
              <w:u w:val="none"/>
            </w:rPr>
          </w:pPr>
          <w:r>
            <w:rPr>
              <w:color w:val="000000" w:themeColor="text1"/>
              <w:u w:val="none"/>
            </w:rPr>
          </w:r>
          <w:hyperlink w:tooltip="#_Toc2" w:anchor="_Toc2" w:history="1">
            <w:r>
              <w:rPr>
                <w:rStyle w:val="721"/>
                <w:color w:val="000000" w:themeColor="text1"/>
              </w:rPr>
            </w:r>
            <w:r>
              <w:rPr>
                <w:rStyle w:val="721"/>
                <w:rFonts w:hint="eastAsia" w:ascii="仿宋" w:hAnsi="仿宋" w:eastAsia="仿宋" w:cs="仿宋"/>
                <w:b/>
                <w:bCs/>
                <w:color w:val="000000" w:themeColor="text1"/>
                <w:highlight w:val="none"/>
                <w:u w:val="none"/>
              </w:rPr>
              <w:t xml:space="preserve">第二章  </w:t>
            </w:r>
            <w:r>
              <w:rPr>
                <w:rStyle w:val="721"/>
                <w:rFonts w:hint="eastAsia" w:ascii="仿宋" w:hAnsi="仿宋" w:eastAsia="仿宋" w:cs="仿宋"/>
                <w:b/>
                <w:bCs/>
                <w:color w:val="000000" w:themeColor="text1"/>
                <w:highlight w:val="none"/>
                <w:u w:val="none"/>
              </w:rPr>
              <w:t xml:space="preserve">供应商须知</w:t>
            </w:r>
            <w:r>
              <w:rPr>
                <w:rStyle w:val="721"/>
                <w:color w:val="000000" w:themeColor="text1"/>
                <w:u w:val="none"/>
              </w:rPr>
            </w:r>
            <w:r>
              <w:rPr>
                <w:color w:val="000000" w:themeColor="text1"/>
                <w:u w:val="none"/>
              </w:rPr>
              <w:tab/>
            </w:r>
            <w:r>
              <w:rPr>
                <w:color w:val="000000" w:themeColor="text1"/>
                <w:u w:val="none"/>
              </w:rPr>
              <w:fldChar w:fldCharType="begin"/>
              <w:instrText xml:space="preserve">PAGEREF _Toc2 \h</w:instrText>
              <w:fldChar w:fldCharType="separate"/>
              <w:t xml:space="preserve">7</w:t>
              <w:fldChar w:fldCharType="end"/>
            </w:r>
          </w:hyperlink>
          <w:r>
            <w:rPr>
              <w:rFonts w:hint="eastAsia" w:ascii="仿宋" w:hAnsi="仿宋" w:eastAsia="仿宋" w:cs="仿宋"/>
              <w:color w:val="000000" w:themeColor="text1"/>
              <w:highlight w:val="none"/>
              <w:u w:val="none"/>
            </w:rPr>
          </w:r>
          <w:r>
            <w:rPr>
              <w:color w:val="000000" w:themeColor="text1"/>
              <w:u w:val="none"/>
            </w:rPr>
          </w:r>
        </w:p>
        <w:p>
          <w:pPr>
            <w:pStyle w:val="708"/>
            <w:tabs>
              <w:tab w:val="right" w:pos="8953" w:leader="dot"/>
            </w:tabs>
            <w:rPr>
              <w:rFonts w:hint="eastAsia" w:ascii="仿宋" w:hAnsi="仿宋" w:eastAsia="仿宋" w:cs="仿宋"/>
              <w:color w:val="000000" w:themeColor="text1"/>
              <w:highlight w:val="none"/>
              <w:u w:val="none"/>
            </w:rPr>
          </w:pPr>
          <w:r>
            <w:rPr>
              <w:color w:val="000000" w:themeColor="text1"/>
              <w:u w:val="none"/>
            </w:rPr>
          </w:r>
          <w:hyperlink w:tooltip="#_Toc77" w:anchor="_Toc77" w:history="1">
            <w:r>
              <w:rPr>
                <w:rStyle w:val="721"/>
                <w:color w:val="000000" w:themeColor="text1"/>
              </w:rPr>
            </w:r>
            <w:r>
              <w:rPr>
                <w:rStyle w:val="721"/>
                <w:rFonts w:hint="eastAsia" w:ascii="仿宋" w:hAnsi="仿宋" w:eastAsia="仿宋" w:cs="仿宋"/>
                <w:b/>
                <w:bCs/>
                <w:color w:val="000000" w:themeColor="text1"/>
                <w:highlight w:val="none"/>
                <w:u w:val="none"/>
              </w:rPr>
              <w:t xml:space="preserve">第三章  合同</w:t>
            </w:r>
            <w:r>
              <w:rPr>
                <w:rStyle w:val="721"/>
                <w:rFonts w:hint="eastAsia" w:ascii="仿宋" w:hAnsi="仿宋" w:eastAsia="仿宋" w:cs="仿宋"/>
                <w:b/>
                <w:bCs/>
                <w:color w:val="000000" w:themeColor="text1"/>
                <w:highlight w:val="none"/>
                <w:u w:val="none"/>
              </w:rPr>
              <w:t xml:space="preserve">文本</w:t>
            </w:r>
            <w:r>
              <w:rPr>
                <w:rStyle w:val="721"/>
                <w:color w:val="000000" w:themeColor="text1"/>
                <w:u w:val="none"/>
              </w:rPr>
            </w:r>
            <w:r>
              <w:rPr>
                <w:color w:val="000000" w:themeColor="text1"/>
                <w:u w:val="none"/>
              </w:rPr>
              <w:tab/>
            </w:r>
            <w:r>
              <w:rPr>
                <w:color w:val="000000" w:themeColor="text1"/>
                <w:u w:val="none"/>
              </w:rPr>
              <w:fldChar w:fldCharType="begin"/>
              <w:instrText xml:space="preserve">PAGEREF _Toc77 \h</w:instrText>
              <w:fldChar w:fldCharType="separate"/>
              <w:t xml:space="preserve">26</w:t>
              <w:fldChar w:fldCharType="end"/>
            </w:r>
          </w:hyperlink>
          <w:r>
            <w:rPr>
              <w:rFonts w:hint="eastAsia" w:ascii="仿宋" w:hAnsi="仿宋" w:eastAsia="仿宋" w:cs="仿宋"/>
              <w:color w:val="000000" w:themeColor="text1"/>
              <w:highlight w:val="none"/>
              <w:u w:val="none"/>
            </w:rPr>
          </w:r>
          <w:r>
            <w:rPr>
              <w:color w:val="000000" w:themeColor="text1"/>
              <w:u w:val="none"/>
            </w:rPr>
          </w:r>
        </w:p>
        <w:p>
          <w:pPr>
            <w:pStyle w:val="708"/>
            <w:tabs>
              <w:tab w:val="right" w:pos="8953" w:leader="dot"/>
            </w:tabs>
            <w:rPr>
              <w:rFonts w:hint="eastAsia" w:ascii="仿宋" w:hAnsi="仿宋" w:eastAsia="仿宋" w:cs="仿宋"/>
              <w:color w:val="000000" w:themeColor="text1"/>
              <w:highlight w:val="none"/>
              <w:u w:val="none"/>
            </w:rPr>
          </w:pPr>
          <w:r>
            <w:rPr>
              <w:color w:val="000000" w:themeColor="text1"/>
              <w:u w:val="none"/>
            </w:rPr>
          </w:r>
          <w:hyperlink w:tooltip="#_Toc113" w:anchor="_Toc113" w:history="1">
            <w:r>
              <w:rPr>
                <w:rStyle w:val="721"/>
                <w:color w:val="000000" w:themeColor="text1"/>
              </w:rPr>
            </w:r>
            <w:r>
              <w:rPr>
                <w:rStyle w:val="721"/>
                <w:rFonts w:hint="eastAsia" w:ascii="仿宋" w:hAnsi="仿宋" w:eastAsia="仿宋" w:cs="仿宋"/>
                <w:b/>
                <w:bCs/>
                <w:color w:val="000000" w:themeColor="text1"/>
                <w:highlight w:val="none"/>
                <w:u w:val="none"/>
              </w:rPr>
              <w:t xml:space="preserve">第</w:t>
            </w:r>
            <w:r>
              <w:rPr>
                <w:rStyle w:val="721"/>
                <w:rFonts w:hint="eastAsia" w:ascii="仿宋" w:hAnsi="仿宋" w:eastAsia="仿宋" w:cs="仿宋"/>
                <w:b/>
                <w:bCs/>
                <w:color w:val="000000" w:themeColor="text1"/>
                <w:highlight w:val="none"/>
                <w:u w:val="none"/>
              </w:rPr>
              <w:t xml:space="preserve">四章  采购需求</w:t>
            </w:r>
            <w:r>
              <w:rPr>
                <w:rStyle w:val="721"/>
                <w:color w:val="000000" w:themeColor="text1"/>
                <w:u w:val="none"/>
              </w:rPr>
            </w:r>
            <w:r>
              <w:rPr>
                <w:color w:val="000000" w:themeColor="text1"/>
                <w:u w:val="none"/>
              </w:rPr>
              <w:tab/>
            </w:r>
            <w:r>
              <w:rPr>
                <w:color w:val="000000" w:themeColor="text1"/>
                <w:u w:val="none"/>
              </w:rPr>
              <w:fldChar w:fldCharType="begin"/>
              <w:instrText xml:space="preserve">PAGEREF _Toc113 \h</w:instrText>
              <w:fldChar w:fldCharType="separate"/>
              <w:t xml:space="preserve">70</w:t>
              <w:fldChar w:fldCharType="end"/>
            </w:r>
          </w:hyperlink>
          <w:r>
            <w:rPr>
              <w:rFonts w:hint="eastAsia" w:ascii="仿宋" w:hAnsi="仿宋" w:eastAsia="仿宋" w:cs="仿宋"/>
              <w:color w:val="000000" w:themeColor="text1"/>
              <w:highlight w:val="none"/>
              <w:u w:val="none"/>
            </w:rPr>
          </w:r>
          <w:r>
            <w:rPr>
              <w:color w:val="000000" w:themeColor="text1"/>
              <w:u w:val="none"/>
            </w:rPr>
          </w:r>
        </w:p>
        <w:p>
          <w:pPr>
            <w:pStyle w:val="708"/>
            <w:tabs>
              <w:tab w:val="right" w:pos="8953" w:leader="dot"/>
            </w:tabs>
            <w:rPr>
              <w:rFonts w:hint="eastAsia" w:ascii="仿宋" w:hAnsi="仿宋" w:eastAsia="仿宋" w:cs="仿宋"/>
              <w:color w:val="000000" w:themeColor="text1"/>
              <w:highlight w:val="none"/>
              <w:u w:val="none"/>
            </w:rPr>
          </w:pPr>
          <w:r>
            <w:rPr>
              <w:color w:val="000000" w:themeColor="text1"/>
              <w:u w:val="none"/>
            </w:rPr>
          </w:r>
          <w:hyperlink w:tooltip="#_Toc114" w:anchor="_Toc114" w:history="1">
            <w:r>
              <w:rPr>
                <w:rStyle w:val="721"/>
                <w:color w:val="000000" w:themeColor="text1"/>
              </w:rPr>
            </w:r>
            <w:r>
              <w:rPr>
                <w:rStyle w:val="721"/>
                <w:rFonts w:hint="eastAsia" w:ascii="仿宋" w:hAnsi="仿宋" w:eastAsia="仿宋" w:cs="仿宋"/>
                <w:b/>
                <w:bCs/>
                <w:color w:val="000000" w:themeColor="text1"/>
                <w:highlight w:val="none"/>
                <w:u w:val="none"/>
              </w:rPr>
              <w:t xml:space="preserve">第五章  评审方法与评审标准</w:t>
            </w:r>
            <w:r>
              <w:rPr>
                <w:rStyle w:val="721"/>
                <w:color w:val="000000" w:themeColor="text1"/>
                <w:u w:val="none"/>
              </w:rPr>
            </w:r>
            <w:r>
              <w:rPr>
                <w:color w:val="000000" w:themeColor="text1"/>
                <w:u w:val="none"/>
              </w:rPr>
              <w:tab/>
            </w:r>
            <w:r>
              <w:rPr>
                <w:color w:val="000000" w:themeColor="text1"/>
                <w:u w:val="none"/>
              </w:rPr>
              <w:fldChar w:fldCharType="begin"/>
              <w:instrText xml:space="preserve">PAGEREF _Toc114 \h</w:instrText>
              <w:fldChar w:fldCharType="separate"/>
              <w:t xml:space="preserve">75</w:t>
              <w:fldChar w:fldCharType="end"/>
            </w:r>
          </w:hyperlink>
          <w:r>
            <w:rPr>
              <w:rFonts w:hint="eastAsia" w:ascii="仿宋" w:hAnsi="仿宋" w:eastAsia="仿宋" w:cs="仿宋"/>
              <w:color w:val="000000" w:themeColor="text1"/>
              <w:highlight w:val="none"/>
              <w:u w:val="none"/>
            </w:rPr>
          </w:r>
          <w:r>
            <w:rPr>
              <w:color w:val="000000" w:themeColor="text1"/>
              <w:u w:val="none"/>
            </w:rPr>
          </w:r>
        </w:p>
        <w:p>
          <w:pPr>
            <w:pStyle w:val="708"/>
            <w:tabs>
              <w:tab w:val="right" w:pos="8953" w:leader="dot"/>
            </w:tabs>
            <w:rPr>
              <w:rFonts w:hint="eastAsia" w:ascii="仿宋" w:hAnsi="仿宋" w:eastAsia="仿宋" w:cs="仿宋"/>
              <w:b/>
              <w:bCs/>
              <w:color w:val="000000" w:themeColor="text1"/>
              <w:highlight w:val="none"/>
              <w:u w:val="none"/>
            </w:rPr>
          </w:pPr>
          <w:r>
            <w:rPr>
              <w:color w:val="000000" w:themeColor="text1"/>
              <w:u w:val="none"/>
            </w:rPr>
          </w:r>
          <w:hyperlink w:tooltip="#_Toc115" w:anchor="_Toc115" w:history="1">
            <w:r>
              <w:rPr>
                <w:rStyle w:val="721"/>
                <w:color w:val="000000" w:themeColor="text1"/>
              </w:rPr>
            </w:r>
            <w:r>
              <w:rPr>
                <w:rStyle w:val="721"/>
                <w:rFonts w:hint="eastAsia" w:ascii="仿宋" w:hAnsi="仿宋" w:eastAsia="仿宋" w:cs="仿宋"/>
                <w:b/>
                <w:bCs/>
                <w:color w:val="000000" w:themeColor="text1"/>
                <w:highlight w:val="none"/>
                <w:u w:val="none"/>
              </w:rPr>
              <w:t xml:space="preserve">第六章  </w:t>
            </w:r>
            <w:r>
              <w:rPr>
                <w:rStyle w:val="721"/>
                <w:rFonts w:hint="eastAsia" w:ascii="仿宋" w:hAnsi="仿宋" w:eastAsia="仿宋" w:cs="仿宋"/>
                <w:b/>
                <w:bCs/>
                <w:color w:val="000000" w:themeColor="text1"/>
                <w:highlight w:val="none"/>
                <w:u w:val="none"/>
              </w:rPr>
              <w:t xml:space="preserve">响应文件格式</w:t>
            </w:r>
            <w:r>
              <w:rPr>
                <w:rStyle w:val="721"/>
                <w:color w:val="000000" w:themeColor="text1"/>
                <w:u w:val="none"/>
              </w:rPr>
            </w:r>
            <w:r>
              <w:rPr>
                <w:color w:val="000000" w:themeColor="text1"/>
                <w:u w:val="none"/>
              </w:rPr>
              <w:tab/>
            </w:r>
            <w:r>
              <w:rPr>
                <w:color w:val="000000" w:themeColor="text1"/>
                <w:u w:val="none"/>
              </w:rPr>
              <w:fldChar w:fldCharType="begin"/>
              <w:instrText xml:space="preserve">PAGEREF _Toc115 \h</w:instrText>
              <w:fldChar w:fldCharType="separate"/>
              <w:t xml:space="preserve">80</w:t>
              <w:fldChar w:fldCharType="end"/>
            </w:r>
          </w:hyperlink>
          <w:r>
            <w:rPr>
              <w:color w:val="000000" w:themeColor="text1"/>
              <w:u w:val="none"/>
            </w:rPr>
            <w:fldChar w:fldCharType="end"/>
          </w:r>
          <w:r>
            <w:rPr>
              <w:rFonts w:hint="eastAsia" w:ascii="仿宋" w:hAnsi="仿宋" w:eastAsia="仿宋" w:cs="仿宋"/>
              <w:b/>
              <w:bCs/>
              <w:color w:val="000000" w:themeColor="text1"/>
              <w:highlight w:val="none"/>
              <w:u w:val="none"/>
            </w:rPr>
          </w:r>
          <w:r>
            <w:rPr>
              <w:color w:val="000000" w:themeColor="text1"/>
              <w:u w:val="none"/>
            </w:rPr>
          </w:r>
        </w:p>
      </w:sdtContent>
    </w:sdt>
    <w:p>
      <w:pPr>
        <w:rPr>
          <w:color w:val="000000" w:themeColor="text1"/>
          <w:u w:val="none"/>
        </w:rPr>
      </w:pPr>
      <w:r>
        <w:rPr>
          <w:color w:val="000000" w:themeColor="text1"/>
          <w:u w:val="none"/>
        </w:rPr>
      </w:r>
      <w:r>
        <w:rPr>
          <w:color w:val="000000" w:themeColor="text1"/>
          <w:u w:val="none"/>
        </w:rPr>
      </w:r>
    </w:p>
    <w:p>
      <w:r/>
      <w:r/>
    </w:p>
    <w:p>
      <w:pP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br w:type="page" w:clear="all"/>
      </w:r>
      <w:r/>
    </w:p>
    <w:p>
      <w:pPr>
        <w:jc w:val="center"/>
        <w:keepNext/>
        <w:pageBreakBefore w:val="0"/>
        <w:spacing w:line="500" w:lineRule="exact"/>
        <w:rPr>
          <w:rFonts w:hint="eastAsia" w:ascii="仿宋" w:hAnsi="仿宋" w:eastAsia="仿宋" w:cs="仿宋"/>
          <w:b/>
          <w:bCs/>
          <w:color w:val="auto"/>
          <w:sz w:val="44"/>
          <w:szCs w:val="44"/>
          <w:highlight w:val="none"/>
        </w:rPr>
        <w:outlineLvl w:val="0"/>
      </w:pPr>
      <w:r/>
      <w:bookmarkStart w:id="312" w:name="_Toc1"/>
      <w:r>
        <w:rPr>
          <w:rFonts w:hint="eastAsia" w:ascii="仿宋" w:hAnsi="仿宋" w:eastAsia="仿宋" w:cs="仿宋"/>
          <w:b/>
          <w:bCs/>
          <w:color w:val="auto"/>
          <w:sz w:val="44"/>
          <w:szCs w:val="44"/>
          <w:highlight w:val="none"/>
        </w:rPr>
        <w:t xml:space="preserve">第一章  </w:t>
      </w:r>
      <w:r>
        <w:rPr>
          <w:rFonts w:hint="eastAsia" w:ascii="仿宋" w:hAnsi="仿宋" w:eastAsia="仿宋" w:cs="仿宋"/>
          <w:b/>
          <w:bCs/>
          <w:color w:val="auto"/>
          <w:sz w:val="44"/>
          <w:szCs w:val="44"/>
          <w:highlight w:val="none"/>
        </w:rPr>
        <w:t xml:space="preserve">磋商邀请</w:t>
      </w:r>
      <w:bookmarkEnd w:id="312"/>
      <w:r/>
      <w:r/>
    </w:p>
    <w:p>
      <w:pPr>
        <w:ind w:firstLine="567"/>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受</w:t>
      </w:r>
      <w:r>
        <w:rPr>
          <w:rFonts w:hint="eastAsia" w:ascii="仿宋" w:hAnsi="仿宋" w:eastAsia="仿宋" w:cs="仿宋"/>
          <w:color w:val="auto"/>
          <w:sz w:val="24"/>
          <w:szCs w:val="24"/>
          <w:highlight w:val="none"/>
          <w:u w:val="single"/>
          <w:lang w:eastAsia="zh-CN"/>
        </w:rPr>
        <w:t xml:space="preserve">宿迁幼儿师范高等专科学校</w:t>
      </w:r>
      <w:r>
        <w:rPr>
          <w:rFonts w:hint="eastAsia" w:ascii="仿宋" w:hAnsi="仿宋" w:eastAsia="仿宋" w:cs="仿宋"/>
          <w:color w:val="auto"/>
          <w:sz w:val="24"/>
          <w:szCs w:val="24"/>
          <w:highlight w:val="none"/>
        </w:rPr>
        <w:t xml:space="preserve">的委托，</w:t>
      </w:r>
      <w:r>
        <w:rPr>
          <w:rFonts w:hint="eastAsia" w:ascii="仿宋" w:hAnsi="仿宋" w:eastAsia="仿宋" w:cs="仿宋"/>
          <w:color w:val="auto"/>
          <w:sz w:val="24"/>
          <w:szCs w:val="24"/>
          <w:highlight w:val="none"/>
          <w:u w:val="single"/>
          <w:lang w:eastAsia="zh-CN"/>
        </w:rPr>
        <w:t xml:space="preserve">宿迁恒新工程项目咨询有限公司</w:t>
      </w:r>
      <w:r>
        <w:rPr>
          <w:rFonts w:hint="eastAsia" w:ascii="仿宋" w:hAnsi="仿宋" w:eastAsia="仿宋" w:cs="仿宋"/>
          <w:color w:val="auto"/>
          <w:sz w:val="24"/>
          <w:szCs w:val="24"/>
          <w:highlight w:val="none"/>
        </w:rPr>
        <w:t xml:space="preserve">就</w:t>
      </w:r>
      <w:r>
        <w:rPr>
          <w:rFonts w:hint="eastAsia" w:ascii="仿宋" w:hAnsi="仿宋" w:eastAsia="仿宋" w:cs="仿宋"/>
          <w:color w:val="auto"/>
          <w:sz w:val="24"/>
          <w:szCs w:val="24"/>
          <w:highlight w:val="none"/>
          <w:u w:val="single"/>
          <w:lang w:eastAsia="zh-CN"/>
        </w:rPr>
        <w:t xml:space="preserve">宿迁幼儿师范高等专科学校泽园一、二、三宿舍公寓化维修改造工程</w:t>
      </w:r>
      <w:r>
        <w:rPr>
          <w:rFonts w:hint="eastAsia" w:ascii="仿宋" w:hAnsi="仿宋" w:eastAsia="仿宋" w:cs="仿宋"/>
          <w:color w:val="auto"/>
          <w:sz w:val="24"/>
          <w:szCs w:val="24"/>
          <w:highlight w:val="none"/>
          <w:lang w:eastAsia="zh-CN"/>
        </w:rPr>
        <w:t xml:space="preserve">（JSZC-321300-SCYH-C2026-0011）</w:t>
      </w:r>
      <w:r>
        <w:rPr>
          <w:rFonts w:hint="eastAsia" w:ascii="仿宋" w:hAnsi="仿宋" w:eastAsia="仿宋" w:cs="仿宋"/>
          <w:color w:val="auto"/>
          <w:sz w:val="24"/>
          <w:szCs w:val="24"/>
          <w:highlight w:val="none"/>
        </w:rPr>
        <w:t xml:space="preserve">项目进行竞争性磋商采购，欢迎符合条件的供应商参加磋商。</w:t>
      </w:r>
      <w:r/>
    </w:p>
    <w:p>
      <w:pPr>
        <w:ind w:firstLine="567"/>
        <w:pageBreakBefore w:val="0"/>
        <w:spacing w:line="500" w:lineRule="exact"/>
        <w:rPr>
          <w:rFonts w:hint="eastAsia"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rPr>
        <w:t xml:space="preserve">项目概况</w:t>
      </w:r>
      <w:r/>
    </w:p>
    <w:p>
      <w:pPr>
        <w:ind w:firstLine="567"/>
        <w:pageBreakBefore w:val="0"/>
        <w:spacing w:line="500" w:lineRule="exact"/>
        <w:rPr>
          <w:rFonts w:hint="eastAsia"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u w:val="single"/>
          <w:lang w:eastAsia="zh-CN"/>
        </w:rPr>
        <w:t xml:space="preserve">宿迁幼儿师范高等专科学校泽园一、二、三宿舍公寓化维修改造工程</w:t>
      </w:r>
      <w:r>
        <w:rPr>
          <w:rFonts w:hint="eastAsia" w:ascii="仿宋" w:hAnsi="仿宋" w:eastAsia="仿宋" w:cs="仿宋"/>
          <w:color w:val="auto"/>
          <w:sz w:val="24"/>
          <w:szCs w:val="24"/>
          <w:highlight w:val="none"/>
        </w:rPr>
        <w:t xml:space="preserve">竞争性磋商项目的潜在供应商可在</w:t>
      </w:r>
      <w:r>
        <w:rPr>
          <w:rFonts w:hint="eastAsia" w:ascii="仿宋" w:hAnsi="仿宋" w:eastAsia="仿宋" w:cs="仿宋"/>
          <w:color w:val="auto"/>
          <w:sz w:val="24"/>
          <w:szCs w:val="24"/>
          <w:highlight w:val="none"/>
          <w:u w:val="single"/>
        </w:rPr>
        <w:t xml:space="preserve">“苏采云”系统（网址：http://jszfcg.jsczt.cn/）或宿迁市政府采购网点击“政府采购管理交易系统（苏采云）”自行免费下载</w:t>
      </w:r>
      <w:r>
        <w:rPr>
          <w:rFonts w:hint="eastAsia" w:ascii="仿宋" w:hAnsi="仿宋" w:eastAsia="仿宋" w:cs="仿宋"/>
          <w:color w:val="auto"/>
          <w:sz w:val="24"/>
          <w:szCs w:val="24"/>
          <w:highlight w:val="none"/>
        </w:rPr>
        <w:t xml:space="preserve">磋商文件，并于2026年6月8日09点30分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北京时间）前递交响应文件</w:t>
      </w:r>
      <w:r>
        <w:rPr>
          <w:rFonts w:hint="eastAsia" w:ascii="仿宋" w:hAnsi="仿宋" w:eastAsia="仿宋" w:cs="仿宋"/>
          <w:color w:val="auto"/>
          <w:sz w:val="24"/>
          <w:szCs w:val="24"/>
          <w:highlight w:val="none"/>
        </w:rPr>
        <w:t xml:space="preserve">。</w:t>
      </w:r>
      <w:r/>
    </w:p>
    <w:p>
      <w:pPr>
        <w:ind w:firstLine="567"/>
        <w:keepLines/>
        <w:keepNext/>
        <w:pageBreakBefore w:val="0"/>
        <w:spacing w:before="145" w:after="145" w:line="500" w:lineRule="exact"/>
        <w:rPr>
          <w:rFonts w:hint="eastAsia" w:ascii="仿宋" w:hAnsi="仿宋" w:eastAsia="仿宋" w:cs="仿宋"/>
          <w:b/>
          <w:bCs/>
          <w:color w:val="auto"/>
          <w:sz w:val="28"/>
          <w:szCs w:val="28"/>
          <w:highlight w:val="none"/>
        </w:rPr>
        <w:outlineLvl w:val="9"/>
      </w:pPr>
      <w:r/>
      <w:bookmarkStart w:id="15" w:name="_Hlk24379207"/>
      <w:r>
        <w:rPr>
          <w:rFonts w:hint="eastAsia" w:ascii="仿宋" w:hAnsi="仿宋" w:eastAsia="仿宋" w:cs="仿宋"/>
          <w:b/>
          <w:bCs/>
          <w:color w:val="auto"/>
          <w:sz w:val="28"/>
          <w:szCs w:val="28"/>
          <w:highlight w:val="none"/>
        </w:rPr>
        <w:t xml:space="preserve">一、项目基本情况</w:t>
      </w:r>
      <w:r/>
    </w:p>
    <w:p>
      <w:pPr>
        <w:ind w:firstLine="480"/>
        <w:spacing w:line="560" w:lineRule="exact"/>
        <w:rPr>
          <w:rFonts w:hint="eastAsia" w:ascii="仿宋" w:hAnsi="仿宋" w:eastAsia="仿宋" w:cs="仿宋"/>
          <w:sz w:val="24"/>
          <w:szCs w:val="24"/>
          <w:highlight w:val="none"/>
          <w:rtl w:val="0"/>
          <w:lang w:val="en-US" w:eastAsia="zh-CN"/>
        </w:rPr>
      </w:pPr>
      <w:r>
        <w:rPr>
          <w:rFonts w:hint="eastAsia" w:ascii="仿宋" w:hAnsi="仿宋" w:eastAsia="仿宋" w:cs="仿宋"/>
          <w:sz w:val="24"/>
          <w:szCs w:val="24"/>
          <w:highlight w:val="none"/>
        </w:rPr>
        <w:t xml:space="preserve">1.项目编号：</w:t>
      </w:r>
      <w:r>
        <w:rPr>
          <w:rFonts w:hint="eastAsia" w:ascii="仿宋" w:hAnsi="仿宋" w:eastAsia="仿宋" w:cs="仿宋"/>
          <w:sz w:val="24"/>
          <w:szCs w:val="24"/>
          <w:highlight w:val="none"/>
          <w:rtl w:val="0"/>
          <w:lang w:val="en-US" w:eastAsia="zh-CN"/>
        </w:rPr>
        <w:t xml:space="preserve">JSZC-321300-SCYH-C2026-0011</w:t>
      </w:r>
      <w:r/>
    </w:p>
    <w:p>
      <w:pPr>
        <w:ind w:firstLine="480"/>
        <w:spacing w:line="56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2.项目名称：</w:t>
      </w:r>
      <w:bookmarkEnd w:id="15"/>
      <w:r>
        <w:rPr>
          <w:rFonts w:hint="eastAsia" w:ascii="仿宋" w:hAnsi="仿宋" w:eastAsia="仿宋" w:cs="仿宋"/>
          <w:sz w:val="24"/>
          <w:szCs w:val="24"/>
          <w:highlight w:val="none"/>
          <w:lang w:eastAsia="zh-CN"/>
        </w:rPr>
        <w:t xml:space="preserve">宿迁幼儿师范高等专科学校泽园一、二、三宿舍公寓化维修改造工程</w:t>
      </w:r>
      <w:r/>
    </w:p>
    <w:p>
      <w:pPr>
        <w:ind w:firstLine="480"/>
        <w:spacing w:line="560" w:lineRule="exact"/>
        <w:rPr>
          <w:rFonts w:hint="eastAsia" w:ascii="仿宋" w:hAnsi="仿宋" w:eastAsia="仿宋" w:cs="仿宋"/>
          <w:sz w:val="24"/>
          <w:szCs w:val="24"/>
          <w:highlight w:val="none"/>
          <w:lang w:val="en-US"/>
        </w:rPr>
      </w:pPr>
      <w:r>
        <w:rPr>
          <w:rFonts w:hint="eastAsia" w:ascii="仿宋" w:hAnsi="仿宋" w:eastAsia="仿宋" w:cs="仿宋"/>
          <w:sz w:val="24"/>
          <w:szCs w:val="24"/>
          <w:highlight w:val="none"/>
        </w:rPr>
        <w:t xml:space="preserve">3.预算金额：</w:t>
      </w:r>
      <w:r>
        <w:rPr>
          <w:rFonts w:hint="eastAsia" w:ascii="仿宋" w:hAnsi="仿宋" w:eastAsia="仿宋" w:cs="仿宋"/>
          <w:sz w:val="24"/>
          <w:szCs w:val="24"/>
          <w:highlight w:val="none"/>
          <w:rtl w:val="0"/>
          <w:lang w:val="en-US" w:eastAsia="zh-CN"/>
        </w:rPr>
        <w:t xml:space="preserve">264.159301万元</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4.本项目设定最高限价，最高限价为</w:t>
      </w:r>
      <w:r>
        <w:rPr>
          <w:rFonts w:hint="eastAsia" w:ascii="仿宋" w:hAnsi="仿宋" w:eastAsia="仿宋" w:cs="仿宋"/>
          <w:sz w:val="24"/>
          <w:szCs w:val="24"/>
          <w:highlight w:val="none"/>
          <w:rtl w:val="0"/>
          <w:lang w:val="en-US" w:eastAsia="zh-CN"/>
        </w:rPr>
        <w:t xml:space="preserve">264.159301万元，超过最高限价的作无效标处理。</w:t>
      </w:r>
      <w:r/>
    </w:p>
    <w:p>
      <w:pPr>
        <w:ind w:firstLine="480"/>
        <w:spacing w:line="56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5.采购需求：</w:t>
      </w:r>
      <w:r>
        <w:rPr>
          <w:rFonts w:hint="eastAsia" w:ascii="仿宋" w:hAnsi="仿宋" w:eastAsia="仿宋" w:cs="仿宋"/>
          <w:sz w:val="24"/>
          <w:szCs w:val="24"/>
          <w:highlight w:val="none"/>
          <w:lang w:eastAsia="zh-CN"/>
        </w:rPr>
        <w:t xml:space="preserve">宿迁幼儿师范高等专科学校泽园一、二、三宿舍公寓化维修改造工程，</w:t>
      </w:r>
      <w:r>
        <w:rPr>
          <w:rFonts w:hint="eastAsia" w:ascii="仿宋" w:hAnsi="仿宋" w:eastAsia="仿宋" w:cs="仿宋"/>
          <w:sz w:val="24"/>
          <w:szCs w:val="24"/>
          <w:highlight w:val="none"/>
        </w:rPr>
        <w:t xml:space="preserve">详</w:t>
      </w:r>
      <w:r>
        <w:rPr>
          <w:rFonts w:hint="eastAsia" w:ascii="仿宋" w:hAnsi="仿宋" w:eastAsia="仿宋" w:cs="仿宋"/>
          <w:sz w:val="24"/>
          <w:szCs w:val="24"/>
          <w:highlight w:val="none"/>
          <w:lang w:eastAsia="zh-CN"/>
        </w:rPr>
        <w:t xml:space="preserve">见工程量清单。</w:t>
      </w:r>
      <w:r/>
    </w:p>
    <w:p>
      <w:pPr>
        <w:ind w:firstLine="480"/>
        <w:spacing w:line="56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6.合同履行期限：</w:t>
      </w:r>
      <w:r>
        <w:rPr>
          <w:rFonts w:hint="eastAsia" w:ascii="仿宋" w:hAnsi="仿宋" w:eastAsia="仿宋" w:cs="仿宋"/>
          <w:sz w:val="24"/>
          <w:szCs w:val="24"/>
          <w:highlight w:val="none"/>
          <w:lang w:val="en-US" w:eastAsia="zh-CN"/>
        </w:rPr>
        <w:t xml:space="preserve">30日历天</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7.本项目不接受联合体参与磋商。</w:t>
      </w:r>
      <w:r/>
    </w:p>
    <w:p>
      <w:pPr>
        <w:ind w:firstLine="567"/>
        <w:keepLines/>
        <w:keepNext/>
        <w:pageBreakBefore w:val="0"/>
        <w:spacing w:before="145" w:after="145" w:line="500" w:lineRule="exact"/>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8"/>
          <w:szCs w:val="28"/>
          <w:highlight w:val="none"/>
        </w:rPr>
        <w:t xml:space="preserve">二、申请人的资格要求：</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（一）通用资格要求</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1.具备《中华人民共和国政府采购法》第二十二条第一款规定的6项条件（按要求提供声明及信用承诺）；</w:t>
      </w:r>
      <w:r/>
    </w:p>
    <w:p>
      <w:pPr>
        <w:ind w:firstLine="480"/>
        <w:spacing w:line="56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2.在“信用中国”网站</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www.creditchina.gov.cn</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查询，不存在被列入失信被执行人、重大税收违法案件当事人名单、政府采购严重失信行为记录名单及其他不符合《中华人民共和国政府采购法》第二十二条规定条件的信用记录情形</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无需提供证明材料</w:t>
      </w:r>
      <w:r>
        <w:rPr>
          <w:rFonts w:hint="eastAsia" w:ascii="仿宋" w:hAnsi="仿宋" w:eastAsia="仿宋" w:cs="仿宋"/>
          <w:sz w:val="24"/>
          <w:szCs w:val="24"/>
          <w:highlight w:val="none"/>
          <w:lang w:eastAsia="zh-CN"/>
        </w:rPr>
        <w:t xml:space="preserve">）；</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3.落实政府采购政策需满足的资格要求：本项目为专门面向中小企业采购的项目，供应商须为中小微企业、监狱企业、残疾人福利性单位</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须提供《中小企业或残疾人福利性单位声明函》</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。非中小型企业参与本项目投标，将作无效标处理。</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（二）本项目的特定资格要求</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1.供应商具有建筑装修装饰工程专业承包二级及以上资质</w:t>
      </w:r>
      <w:r>
        <w:rPr>
          <w:rFonts w:hint="eastAsia" w:ascii="仿宋" w:hAnsi="仿宋" w:eastAsia="仿宋" w:cs="仿宋"/>
          <w:sz w:val="24"/>
          <w:szCs w:val="24"/>
          <w:highlight w:val="none"/>
        </w:rPr>
        <w:t xml:space="preserve">。</w:t>
      </w:r>
      <w:r/>
    </w:p>
    <w:p>
      <w:pPr>
        <w:ind w:firstLine="480"/>
        <w:spacing w:line="56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拟选派项目负责人资格：</w:t>
      </w:r>
      <w:r>
        <w:rPr>
          <w:rFonts w:hint="eastAsia" w:ascii="仿宋" w:hAnsi="仿宋" w:eastAsia="仿宋" w:cs="仿宋"/>
          <w:sz w:val="24"/>
          <w:szCs w:val="24"/>
          <w:highlight w:val="none"/>
          <w:lang w:eastAsia="zh-CN"/>
        </w:rPr>
        <w:t xml:space="preserve">具备建筑工程专业二级及以上注册建造师执业资格,并具备建筑施工企业项目负责人安全生产考核合格证书（B证）。</w:t>
      </w:r>
      <w:r/>
    </w:p>
    <w:p>
      <w:pPr>
        <w:ind w:firstLine="480"/>
        <w:spacing w:line="56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3.供应商具备安全生产条件，并取得有效的安全生产许可证</w:t>
      </w:r>
      <w:r>
        <w:rPr>
          <w:rFonts w:hint="eastAsia" w:ascii="仿宋" w:hAnsi="仿宋" w:eastAsia="仿宋" w:cs="仿宋"/>
          <w:sz w:val="24"/>
          <w:szCs w:val="24"/>
          <w:highlight w:val="none"/>
          <w:lang w:eastAsia="zh-CN"/>
        </w:rPr>
        <w:t xml:space="preserve">。</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供应商拟选派的项目负责人必须为本单位人员，提供磋商前6个月内本单位为其办理的任意一个月社会养老保险或医疗保险缴纳证明材料。</w:t>
      </w:r>
      <w:r/>
    </w:p>
    <w:p>
      <w:pPr>
        <w:ind w:firstLine="567"/>
        <w:keepLines/>
        <w:keepNext/>
        <w:pageBreakBefore w:val="0"/>
        <w:spacing w:before="145" w:after="145"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三、获取</w:t>
      </w:r>
      <w:r>
        <w:rPr>
          <w:rFonts w:hint="eastAsia" w:ascii="仿宋" w:hAnsi="仿宋" w:eastAsia="仿宋" w:cs="仿宋"/>
          <w:b/>
          <w:bCs/>
          <w:color w:val="auto"/>
          <w:sz w:val="28"/>
          <w:szCs w:val="28"/>
          <w:highlight w:val="none"/>
        </w:rPr>
        <w:t xml:space="preserve">磋商文件</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1.时间：</w:t>
      </w:r>
      <w:r>
        <w:rPr>
          <w:rFonts w:hint="eastAsia" w:ascii="仿宋" w:hAnsi="仿宋" w:eastAsia="仿宋" w:cs="仿宋"/>
          <w:sz w:val="24"/>
          <w:szCs w:val="24"/>
          <w:highlight w:val="none"/>
          <w:lang w:val="en-US" w:eastAsia="zh-CN"/>
        </w:rPr>
        <w:t xml:space="preserve">2026</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月</w:t>
      </w:r>
      <w:r>
        <w:rPr>
          <w:rFonts w:hint="eastAsia" w:ascii="仿宋" w:hAnsi="仿宋" w:eastAsia="仿宋" w:cs="仿宋"/>
          <w:sz w:val="24"/>
          <w:szCs w:val="24"/>
          <w:highlight w:val="none"/>
          <w:lang w:val="en-US" w:eastAsia="zh-CN"/>
        </w:rPr>
        <w:t xml:space="preserve">27</w:t>
      </w:r>
      <w:r>
        <w:rPr>
          <w:rFonts w:hint="eastAsia" w:ascii="仿宋" w:hAnsi="仿宋" w:eastAsia="仿宋" w:cs="仿宋"/>
          <w:sz w:val="24"/>
          <w:szCs w:val="24"/>
          <w:highlight w:val="none"/>
        </w:rPr>
        <w:t xml:space="preserve">日</w:t>
      </w:r>
      <w:r>
        <w:rPr>
          <w:rFonts w:hint="eastAsia" w:ascii="仿宋" w:hAnsi="仿宋" w:eastAsia="仿宋" w:cs="仿宋"/>
          <w:sz w:val="24"/>
          <w:szCs w:val="24"/>
          <w:highlight w:val="none"/>
          <w:lang w:val="en-US" w:eastAsia="zh-CN"/>
        </w:rPr>
        <w:t xml:space="preserve">09:00</w:t>
      </w:r>
      <w:r>
        <w:rPr>
          <w:rFonts w:hint="eastAsia" w:ascii="仿宋" w:hAnsi="仿宋" w:eastAsia="仿宋" w:cs="仿宋"/>
          <w:sz w:val="24"/>
          <w:szCs w:val="24"/>
          <w:highlight w:val="none"/>
        </w:rPr>
        <w:t xml:space="preserve">至</w:t>
      </w:r>
      <w:r>
        <w:rPr>
          <w:rFonts w:hint="eastAsia" w:ascii="仿宋" w:hAnsi="仿宋" w:eastAsia="仿宋" w:cs="仿宋"/>
          <w:sz w:val="24"/>
          <w:szCs w:val="24"/>
          <w:highlight w:val="none"/>
          <w:lang w:val="en-US" w:eastAsia="zh-CN"/>
        </w:rPr>
        <w:t xml:space="preserve">2026</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月</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日</w:t>
      </w:r>
      <w:r>
        <w:rPr>
          <w:rFonts w:hint="eastAsia" w:ascii="仿宋" w:hAnsi="仿宋" w:eastAsia="仿宋" w:cs="仿宋"/>
          <w:sz w:val="24"/>
          <w:szCs w:val="24"/>
          <w:highlight w:val="none"/>
          <w:lang w:val="en-US" w:eastAsia="zh-CN"/>
        </w:rPr>
        <w:t xml:space="preserve">17:30</w:t>
      </w:r>
      <w:r>
        <w:rPr>
          <w:rFonts w:hint="eastAsia" w:ascii="仿宋" w:hAnsi="仿宋" w:eastAsia="仿宋" w:cs="仿宋"/>
          <w:sz w:val="24"/>
          <w:szCs w:val="24"/>
          <w:highlight w:val="none"/>
        </w:rPr>
        <w:t xml:space="preserve">。</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60" w:lineRule="exact"/>
        <w:rPr>
          <w:rFonts w:hint="eastAsia" w:ascii="仿宋" w:hAnsi="仿宋" w:eastAsia="仿宋" w:cs="仿宋"/>
          <w:sz w:val="24"/>
          <w:szCs w:val="24"/>
          <w:highlight w:val="none"/>
        </w:rPr>
      </w:pPr>
      <w:r/>
      <w:bookmarkStart w:id="31" w:name="EB0c44ff4da61f4af989d119fe214be450"/>
      <w:r>
        <w:rPr>
          <w:rFonts w:hint="eastAsia" w:ascii="仿宋" w:hAnsi="仿宋" w:eastAsia="仿宋" w:cs="仿宋"/>
          <w:sz w:val="24"/>
          <w:szCs w:val="24"/>
          <w:highlight w:val="none"/>
        </w:rPr>
        <w:t xml:space="preserve">3.本项目共分一个包。供应商未按要求获取竞争性磋商文件导致无法磋商的，后果自负（其响应文件不予接受）。</w:t>
      </w:r>
      <w:bookmarkEnd w:id="31"/>
      <w:r/>
      <w:r/>
    </w:p>
    <w:p>
      <w:pPr>
        <w:ind w:firstLine="567"/>
        <w:keepLines/>
        <w:keepNext/>
        <w:pageBreakBefore w:val="0"/>
        <w:spacing w:before="145" w:after="145"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四、提交</w:t>
      </w:r>
      <w:r>
        <w:rPr>
          <w:rFonts w:hint="eastAsia" w:ascii="仿宋" w:hAnsi="仿宋" w:eastAsia="仿宋" w:cs="仿宋"/>
          <w:b/>
          <w:bCs/>
          <w:color w:val="auto"/>
          <w:sz w:val="28"/>
          <w:szCs w:val="28"/>
          <w:highlight w:val="none"/>
        </w:rPr>
        <w:t xml:space="preserve">响应文件截止时间</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1.提交响应文件截止时间、磋商时间：</w:t>
      </w:r>
      <w:r>
        <w:rPr>
          <w:rFonts w:hint="eastAsia" w:ascii="仿宋" w:hAnsi="仿宋" w:eastAsia="仿宋" w:cs="仿宋"/>
          <w:sz w:val="28"/>
          <w:szCs w:val="28"/>
          <w:highlight w:val="none"/>
        </w:rPr>
        <w:t xml:space="preserve">2026年</w:t>
      </w: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09</w:t>
      </w:r>
      <w:r>
        <w:rPr>
          <w:rFonts w:hint="eastAsia" w:ascii="仿宋" w:hAnsi="仿宋" w:eastAsia="仿宋" w:cs="仿宋"/>
          <w:sz w:val="28"/>
          <w:szCs w:val="28"/>
          <w:highlight w:val="none"/>
        </w:rPr>
        <w:t xml:space="preserve">点</w:t>
      </w:r>
      <w:r>
        <w:rPr>
          <w:rFonts w:hint="eastAsia" w:ascii="仿宋" w:hAnsi="仿宋" w:eastAsia="仿宋" w:cs="仿宋"/>
          <w:sz w:val="28"/>
          <w:szCs w:val="28"/>
          <w:highlight w:val="none"/>
          <w:lang w:val="en-US" w:eastAsia="zh-CN"/>
        </w:rPr>
        <w:t xml:space="preserve">30</w:t>
      </w:r>
      <w:r>
        <w:rPr>
          <w:rFonts w:hint="eastAsia" w:ascii="仿宋" w:hAnsi="仿宋" w:eastAsia="仿宋" w:cs="仿宋"/>
          <w:sz w:val="28"/>
          <w:szCs w:val="28"/>
          <w:highlight w:val="none"/>
        </w:rPr>
        <w:t xml:space="preserve">分</w:t>
      </w:r>
      <w:r>
        <w:rPr>
          <w:rFonts w:hint="eastAsia" w:ascii="仿宋" w:hAnsi="仿宋" w:eastAsia="仿宋" w:cs="仿宋"/>
          <w:sz w:val="24"/>
          <w:szCs w:val="24"/>
          <w:highlight w:val="none"/>
        </w:rPr>
        <w:t xml:space="preserve">（北京时间）。</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2.地点：“苏采云”政府采购交易系统网上开标大厅。</w:t>
      </w:r>
      <w:r/>
    </w:p>
    <w:p>
      <w:pPr>
        <w:ind w:firstLine="567"/>
        <w:keepLines/>
        <w:keepNext/>
        <w:pageBreakBefore w:val="0"/>
        <w:spacing w:before="145" w:after="145"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五、公告期限</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sz w:val="24"/>
          <w:szCs w:val="24"/>
          <w:highlight w:val="none"/>
        </w:rPr>
        <w:t xml:space="preserve">磋商公告及磋商文件公告期限为自本公告发布之日起5个工作日。采购公告发布媒体：宿迁市政府采购网、宿迁市公共资源交易平台、江苏省财政部门指定的媒体。</w:t>
      </w:r>
      <w:r/>
    </w:p>
    <w:p>
      <w:pPr>
        <w:ind w:firstLine="567"/>
        <w:keepLines/>
        <w:keepNext/>
        <w:pageBreakBefore w:val="0"/>
        <w:spacing w:before="145" w:after="145"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六、其他补充事宜</w:t>
      </w:r>
      <w:r/>
    </w:p>
    <w:p>
      <w:pPr>
        <w:ind w:firstLine="480"/>
        <w:spacing w:line="560" w:lineRule="exact"/>
        <w:rPr>
          <w:rFonts w:hint="eastAsia" w:ascii="仿宋" w:hAnsi="仿宋" w:eastAsia="仿宋" w:cs="仿宋"/>
          <w:sz w:val="24"/>
          <w:szCs w:val="24"/>
          <w:highlight w:val="none"/>
        </w:rPr>
      </w:pPr>
      <w:r/>
      <w:bookmarkStart w:id="40" w:name="EB64e1f522fd8c43fcb4d3ba471386b3e7"/>
      <w:r>
        <w:rPr>
          <w:rFonts w:hint="eastAsia" w:ascii="仿宋" w:hAnsi="仿宋" w:eastAsia="仿宋" w:cs="仿宋"/>
          <w:sz w:val="24"/>
          <w:szCs w:val="24"/>
          <w:highlight w:val="none"/>
        </w:rPr>
        <w:t xml:space="preserve">1.财政部门监督电话：</w:t>
      </w:r>
      <w:r>
        <w:rPr>
          <w:rFonts w:hint="eastAsia" w:ascii="仿宋" w:hAnsi="仿宋" w:eastAsia="仿宋" w:cs="仿宋"/>
          <w:sz w:val="24"/>
          <w:szCs w:val="24"/>
          <w:highlight w:val="none"/>
          <w:lang w:eastAsia="zh-CN"/>
        </w:rPr>
        <w:t xml:space="preserve">0527-84363063</w:t>
      </w:r>
      <w:r>
        <w:rPr>
          <w:rFonts w:hint="eastAsia" w:ascii="仿宋" w:hAnsi="仿宋" w:eastAsia="仿宋" w:cs="仿宋"/>
          <w:sz w:val="24"/>
          <w:szCs w:val="24"/>
          <w:highlight w:val="none"/>
        </w:rPr>
        <w:t xml:space="preserve">。</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2.“CA”数字证书办理：“苏采云”系统目前仅支持“苏采云”系统下的政务CA。省内各地区办理的“苏采云”系统下的政务CA全省通用。宿迁地区CA数字证书办理联系方式：18351098172。</w:t>
      </w:r>
      <w:r/>
    </w:p>
    <w:p>
      <w:pPr>
        <w:ind w:firstLine="480"/>
        <w:spacing w:line="560" w:lineRule="exact"/>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3.宿迁地区“苏采云”技术支持客服电话：0527-84363067、0519-86722806。</w:t>
      </w:r>
      <w:r/>
    </w:p>
    <w:p>
      <w:pPr>
        <w:ind w:firstLine="480"/>
        <w:spacing w:line="560" w:lineRule="exact"/>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rPr>
        <w:t xml:space="preserve">4.如果供应商通过苏采云系统参与政府采购项目，相关操作手册详见链接：http://www.ccgp-jiangsu.gov.cn/jiangsu/zlxz/ee/ee3a4bc5a3454aa2b0d9312230633ce9.html。</w:t>
      </w:r>
      <w:bookmarkEnd w:id="40"/>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5.现场勘察及答疑：本项目不组织集中勘察及答疑，供应商如对采购需求有疑问，请咨询采购单位联系人。</w:t>
      </w:r>
      <w:r/>
    </w:p>
    <w:p>
      <w:pPr>
        <w:ind w:firstLine="567"/>
        <w:keepLines/>
        <w:keepNext/>
        <w:pageBreakBefore w:val="0"/>
        <w:spacing w:before="145" w:after="145"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七、本次磋商联系方式</w:t>
      </w:r>
      <w:r/>
    </w:p>
    <w:p>
      <w:pPr>
        <w:ind w:firstLine="567"/>
        <w:jc w:val="left"/>
        <w:pageBreakBefore w:val="0"/>
        <w:spacing w:line="50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1.采购人信息</w:t>
      </w:r>
      <w:r/>
    </w:p>
    <w:p>
      <w:pPr>
        <w:ind w:firstLine="567"/>
        <w:jc w:val="left"/>
        <w:keepLines w:val="0"/>
        <w:keepNext w:val="0"/>
        <w:pageBreakBefore w:val="0"/>
        <w:spacing w:line="500" w:lineRule="exact"/>
        <w:rPr>
          <w:rFonts w:hint="eastAsia" w:ascii="仿宋" w:hAnsi="仿宋" w:eastAsia="仿宋" w:cs="仿宋"/>
          <w:color w:val="auto"/>
          <w:sz w:val="24"/>
          <w:szCs w:val="24"/>
          <w:highlight w:val="none"/>
          <w:lang w:eastAsia="zh-CN"/>
        </w:rPr>
        <w:outlineLvl w:val="9"/>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宿迁幼儿师范高等专科学校</w:t>
      </w:r>
      <w:r/>
    </w:p>
    <w:p>
      <w:pPr>
        <w:ind w:firstLine="567"/>
        <w:jc w:val="left"/>
        <w:keepLines w:val="0"/>
        <w:keepNext w:val="0"/>
        <w:pageBreakBefore w:val="0"/>
        <w:spacing w:line="5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val="en-US" w:eastAsia="zh-CN"/>
        </w:rPr>
        <w:t xml:space="preserve">江苏省宿迁市湖滨新区学成路1号</w:t>
      </w:r>
      <w:r/>
    </w:p>
    <w:p>
      <w:pPr>
        <w:ind w:firstLine="567"/>
        <w:jc w:val="left"/>
        <w:keepLines w:val="0"/>
        <w:keepNext w:val="0"/>
        <w:pageBreakBefore w:val="0"/>
        <w:spacing w:line="5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lang w:val="en-US" w:eastAsia="zh-CN"/>
        </w:rPr>
        <w:t xml:space="preserve">万开成</w:t>
      </w:r>
      <w:r/>
    </w:p>
    <w:p>
      <w:pPr>
        <w:ind w:firstLine="567"/>
        <w:jc w:val="left"/>
        <w:keepLines w:val="0"/>
        <w:keepNext w:val="0"/>
        <w:pageBreakBefore w:val="0"/>
        <w:spacing w:line="5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lang w:val="en-US" w:eastAsia="zh-CN"/>
        </w:rPr>
        <w:t xml:space="preserve">0527-80985609</w:t>
      </w:r>
      <w:r/>
    </w:p>
    <w:p>
      <w:pPr>
        <w:ind w:firstLine="567"/>
        <w:jc w:val="left"/>
        <w:keepLines w:val="0"/>
        <w:keepNext w:val="0"/>
        <w:pageBreakBefore w:val="0"/>
        <w:spacing w:line="50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2.采购代理机构信息</w:t>
      </w:r>
      <w:r/>
    </w:p>
    <w:p>
      <w:pPr>
        <w:ind w:firstLine="567"/>
        <w:jc w:val="left"/>
        <w:keepLines w:val="0"/>
        <w:keepNext w:val="0"/>
        <w:pageBreakBefore w:val="0"/>
        <w:spacing w:line="500" w:lineRule="exact"/>
        <w:rPr>
          <w:rFonts w:hint="eastAsia" w:ascii="仿宋" w:hAnsi="仿宋" w:eastAsia="仿宋" w:cs="仿宋"/>
          <w:color w:val="auto"/>
          <w:sz w:val="24"/>
          <w:szCs w:val="24"/>
          <w:highlight w:val="none"/>
          <w:lang w:eastAsia="zh-CN"/>
        </w:rPr>
        <w:outlineLvl w:val="9"/>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宿迁恒新工程项目咨询有限公司</w:t>
      </w:r>
      <w:r/>
    </w:p>
    <w:p>
      <w:pPr>
        <w:ind w:firstLine="567"/>
        <w:jc w:val="left"/>
        <w:keepLines w:val="0"/>
        <w:keepNext w:val="0"/>
        <w:pageBreakBefore w:val="0"/>
        <w:spacing w:line="500" w:lineRule="exact"/>
        <w:rPr>
          <w:rFonts w:hint="eastAsia" w:ascii="仿宋" w:hAnsi="仿宋" w:eastAsia="仿宋" w:cs="仿宋"/>
          <w:color w:val="auto"/>
          <w:sz w:val="24"/>
          <w:szCs w:val="24"/>
          <w:highlight w:val="none"/>
          <w:lang w:eastAsia="zh-CN"/>
        </w:rPr>
        <w:outlineLvl w:val="9"/>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宿迁经济技术开发区城宇商业广场一区D栋103室</w:t>
      </w:r>
      <w:r/>
    </w:p>
    <w:p>
      <w:pPr>
        <w:ind w:firstLine="567"/>
        <w:jc w:val="left"/>
        <w:keepLines w:val="0"/>
        <w:keepNext w:val="0"/>
        <w:pageBreakBefore w:val="0"/>
        <w:spacing w:line="500" w:lineRule="exact"/>
        <w:rPr>
          <w:rFonts w:hint="eastAsia" w:ascii="仿宋" w:hAnsi="仿宋" w:eastAsia="仿宋" w:cs="仿宋"/>
          <w:color w:val="auto"/>
          <w:sz w:val="24"/>
          <w:szCs w:val="24"/>
          <w:highlight w:val="none"/>
          <w:lang w:eastAsia="zh-CN"/>
        </w:rPr>
        <w:outlineLvl w:val="9"/>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lang w:eastAsia="zh-CN"/>
        </w:rPr>
        <w:t xml:space="preserve">赵春花、王然</w:t>
      </w:r>
      <w:r/>
    </w:p>
    <w:p>
      <w:pPr>
        <w:ind w:firstLine="567"/>
        <w:jc w:val="left"/>
        <w:keepLines w:val="0"/>
        <w:keepNext w:val="0"/>
        <w:pageBreakBefore w:val="0"/>
        <w:spacing w:line="5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lang w:eastAsia="zh-CN"/>
        </w:rPr>
        <w:t xml:space="preserve">18724192862</w:t>
      </w:r>
      <w:r/>
    </w:p>
    <w:p>
      <w:pPr>
        <w:ind w:firstLine="567"/>
        <w:keepLines/>
        <w:keepNext/>
        <w:pageBreakBefore w:val="0"/>
        <w:spacing w:before="145" w:after="145"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八、其他</w:t>
      </w:r>
      <w:r/>
    </w:p>
    <w:p>
      <w:pPr>
        <w:ind w:firstLine="567"/>
        <w:pageBreakBefore w:val="0"/>
        <w:spacing w:line="500" w:lineRule="exact"/>
        <w:tabs>
          <w:tab w:val="left" w:pos="900" w:leader="none"/>
        </w:tabs>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1.有关本次采购的事项若存在变动或修改，敬请及时关注“宿迁市政府采购网”更正公告。</w:t>
      </w:r>
      <w:r/>
    </w:p>
    <w:p>
      <w:pPr>
        <w:ind w:firstLine="567"/>
        <w:pageBreakBefore w:val="0"/>
        <w:spacing w:line="500" w:lineRule="exact"/>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bCs/>
          <w:color w:val="auto"/>
          <w:sz w:val="24"/>
          <w:szCs w:val="24"/>
          <w:highlight w:val="none"/>
        </w:rPr>
        <w:t xml:space="preserve">2.本次磋商不收取磋商保证金。</w:t>
      </w:r>
      <w:r/>
    </w:p>
    <w:p>
      <w:pPr>
        <w:jc w:val="center"/>
        <w:keepNext/>
        <w:pageBreakBefore w:val="0"/>
        <w:spacing w:line="500" w:lineRule="exact"/>
        <w:widowControl w:val="off"/>
        <w:rPr>
          <w:rFonts w:hint="eastAsia" w:ascii="仿宋" w:hAnsi="仿宋" w:eastAsia="仿宋" w:cs="仿宋"/>
          <w:color w:val="auto"/>
          <w:sz w:val="44"/>
          <w:szCs w:val="44"/>
          <w:highlight w:val="none"/>
        </w:rPr>
        <w:outlineLvl w:val="0"/>
      </w:pPr>
      <w:r/>
      <w:bookmarkStart w:id="313" w:name="_Toc2"/>
      <w:r>
        <w:rPr>
          <w:rFonts w:hint="eastAsia" w:ascii="仿宋" w:hAnsi="仿宋" w:eastAsia="仿宋" w:cs="仿宋"/>
          <w:b/>
          <w:bCs/>
          <w:color w:val="auto"/>
          <w:sz w:val="44"/>
          <w:szCs w:val="44"/>
          <w:highlight w:val="none"/>
        </w:rPr>
        <w:br w:type="page" w:clear="all"/>
      </w:r>
      <w:r>
        <w:rPr>
          <w:rFonts w:hint="eastAsia" w:ascii="仿宋" w:hAnsi="仿宋" w:eastAsia="仿宋" w:cs="仿宋"/>
          <w:b/>
          <w:bCs/>
          <w:color w:val="auto"/>
          <w:sz w:val="44"/>
          <w:szCs w:val="44"/>
          <w:highlight w:val="none"/>
        </w:rPr>
        <w:t xml:space="preserve">第二章  </w:t>
      </w:r>
      <w:r>
        <w:rPr>
          <w:rFonts w:hint="eastAsia" w:ascii="仿宋" w:hAnsi="仿宋" w:eastAsia="仿宋" w:cs="仿宋"/>
          <w:b/>
          <w:bCs/>
          <w:color w:val="auto"/>
          <w:sz w:val="44"/>
          <w:szCs w:val="44"/>
          <w:highlight w:val="none"/>
        </w:rPr>
        <w:t xml:space="preserve">供应商须知</w:t>
      </w:r>
      <w:bookmarkEnd w:id="313"/>
      <w:r/>
      <w:r/>
    </w:p>
    <w:p>
      <w:pPr>
        <w:ind w:firstLine="562"/>
        <w:keepLines w:val="0"/>
        <w:keepNext w:val="0"/>
        <w:pageBreakBefore w:val="0"/>
        <w:spacing w:line="560" w:lineRule="exact"/>
        <w:widowControl w:val="off"/>
        <w:rPr>
          <w:rFonts w:hint="eastAsia" w:ascii="仿宋" w:hAnsi="仿宋" w:eastAsia="仿宋" w:cs="仿宋"/>
          <w:b/>
          <w:bCs/>
          <w:color w:val="auto"/>
          <w:sz w:val="28"/>
          <w:szCs w:val="28"/>
          <w:highlight w:val="none"/>
        </w:rPr>
        <w:outlineLvl w:val="1"/>
      </w:pPr>
      <w:r/>
      <w:bookmarkStart w:id="314" w:name="_Toc3"/>
      <w:r>
        <w:rPr>
          <w:rFonts w:hint="eastAsia" w:ascii="仿宋" w:hAnsi="仿宋" w:eastAsia="仿宋" w:cs="仿宋"/>
          <w:b/>
          <w:bCs/>
          <w:color w:val="auto"/>
          <w:sz w:val="28"/>
          <w:szCs w:val="28"/>
          <w:highlight w:val="none"/>
        </w:rPr>
        <w:t xml:space="preserve">一、总则</w:t>
      </w:r>
      <w:bookmarkEnd w:id="314"/>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2"/>
      </w:pPr>
      <w:r/>
      <w:bookmarkStart w:id="315" w:name="_Toc4"/>
      <w:r/>
      <w:bookmarkStart w:id="61" w:name="_Hlt16619475"/>
      <w:r/>
      <w:bookmarkEnd w:id="61"/>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采购方式</w:t>
      </w:r>
      <w:bookmarkEnd w:id="315"/>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1.1本次政府采购活动采取竞争性磋商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以下简称磋商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方式，本磋商文件仅适用于磋商公告中所述项目。</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2"/>
      </w:pPr>
      <w:r/>
      <w:bookmarkStart w:id="316" w:name="_Toc5"/>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合格的</w:t>
      </w:r>
      <w:r>
        <w:rPr>
          <w:rFonts w:hint="eastAsia" w:ascii="仿宋" w:hAnsi="仿宋" w:eastAsia="仿宋" w:cs="仿宋"/>
          <w:color w:val="auto"/>
          <w:sz w:val="24"/>
          <w:szCs w:val="24"/>
          <w:highlight w:val="none"/>
        </w:rPr>
        <w:t xml:space="preserve">供应商</w:t>
      </w:r>
      <w:bookmarkEnd w:id="316"/>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2.1满足磋商公告中供应商资格要求的规定。</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2.2满足本磋商文件实质性要求和条件的规定。</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2"/>
      </w:pPr>
      <w:r/>
      <w:bookmarkStart w:id="317" w:name="_Toc6"/>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适用法律</w:t>
      </w:r>
      <w:bookmarkEnd w:id="317"/>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3.1本次磋商及由此产生的合同受中华人民共和国有关的法律法规制约和保护。</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2"/>
      </w:pPr>
      <w:r/>
      <w:bookmarkStart w:id="318" w:name="_Toc7"/>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磋商费用</w:t>
      </w:r>
      <w:bookmarkEnd w:id="318"/>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4.1供应商应自行承担所有与参加本次磋商有关的费用，无论磋商过程中的做法和结果如何，采购代理机构在任何情况下均无义务和责任承担这些费用。</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3"/>
      </w:pPr>
      <w:r/>
      <w:bookmarkStart w:id="319" w:name="_Toc8"/>
      <w:r>
        <w:rPr>
          <w:rFonts w:hint="eastAsia" w:ascii="仿宋" w:hAnsi="仿宋" w:eastAsia="仿宋" w:cs="仿宋"/>
          <w:color w:val="auto"/>
          <w:sz w:val="24"/>
          <w:szCs w:val="24"/>
          <w:highlight w:val="none"/>
        </w:rPr>
        <w:t xml:space="preserve">4.2代理费用收取方式及标准：按以下第</w:t>
      </w:r>
      <w:r>
        <w:rPr>
          <w:rFonts w:hint="eastAsia" w:ascii="仿宋" w:hAnsi="仿宋" w:eastAsia="仿宋" w:cs="仿宋"/>
          <w:color w:val="auto"/>
          <w:sz w:val="24"/>
          <w:szCs w:val="24"/>
          <w:highlight w:val="none"/>
          <w:u w:val="single"/>
        </w:rPr>
        <w:t xml:space="preserve">4.2.2</w:t>
      </w:r>
      <w:r>
        <w:rPr>
          <w:rFonts w:hint="eastAsia" w:ascii="仿宋" w:hAnsi="仿宋" w:eastAsia="仿宋" w:cs="仿宋"/>
          <w:color w:val="auto"/>
          <w:sz w:val="24"/>
          <w:szCs w:val="24"/>
          <w:highlight w:val="none"/>
        </w:rPr>
        <w:t xml:space="preserve">种方式执行</w:t>
      </w:r>
      <w:bookmarkEnd w:id="319"/>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zh-CN"/>
        </w:rPr>
        <w:outlineLvl w:val="4"/>
      </w:pPr>
      <w:r/>
      <w:bookmarkStart w:id="320" w:name="_Toc9"/>
      <w:r>
        <w:rPr>
          <w:rFonts w:hint="eastAsia" w:ascii="仿宋" w:hAnsi="仿宋" w:eastAsia="仿宋" w:cs="仿宋"/>
          <w:color w:val="auto"/>
          <w:sz w:val="24"/>
          <w:szCs w:val="24"/>
          <w:highlight w:val="none"/>
          <w:lang w:val="zh-CN"/>
        </w:rPr>
        <w:t xml:space="preserve">4.2.1无需支付；</w:t>
      </w:r>
      <w:bookmarkEnd w:id="320"/>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4.2.2采购人支付，具体方式及标准为</w:t>
      </w:r>
      <w:r>
        <w:rPr>
          <w:rFonts w:hint="eastAsia" w:ascii="仿宋" w:hAnsi="仿宋" w:eastAsia="仿宋" w:cs="仿宋"/>
          <w:color w:val="auto"/>
          <w:sz w:val="24"/>
          <w:szCs w:val="24"/>
          <w:highlight w:val="none"/>
          <w:u w:val="none"/>
          <w:lang w:val="zh-CN"/>
        </w:rPr>
        <w:t xml:space="preserve">：</w:t>
      </w:r>
      <w:r>
        <w:rPr>
          <w:rFonts w:hint="eastAsia" w:ascii="仿宋" w:hAnsi="仿宋" w:eastAsia="仿宋" w:cs="仿宋"/>
          <w:color w:val="auto"/>
          <w:sz w:val="24"/>
          <w:szCs w:val="24"/>
          <w:highlight w:val="none"/>
          <w:u w:val="single"/>
          <w:lang w:val="zh-CN"/>
        </w:rPr>
        <w:t xml:space="preserve">参照计价格[2002]1980号文规定标准*79.2%</w:t>
      </w:r>
      <w:r>
        <w:rPr>
          <w:rFonts w:hint="eastAsia" w:ascii="仿宋" w:hAnsi="仿宋" w:eastAsia="仿宋" w:cs="仿宋"/>
          <w:color w:val="auto"/>
          <w:sz w:val="24"/>
          <w:szCs w:val="24"/>
          <w:highlight w:val="none"/>
          <w:u w:val="single"/>
        </w:rPr>
        <w:t xml:space="preserve">缴纳代理服务费</w:t>
      </w:r>
      <w:r>
        <w:rPr>
          <w:rFonts w:hint="eastAsia" w:ascii="仿宋" w:hAnsi="仿宋" w:eastAsia="仿宋" w:cs="仿宋"/>
          <w:color w:val="auto"/>
          <w:sz w:val="24"/>
          <w:szCs w:val="24"/>
          <w:highlight w:val="none"/>
          <w:u w:val="none"/>
          <w:lang w:val="zh-CN"/>
        </w:rPr>
        <w:t xml:space="preserve">。支付</w:t>
      </w:r>
      <w:r>
        <w:rPr>
          <w:rFonts w:hint="eastAsia" w:ascii="仿宋" w:hAnsi="仿宋" w:eastAsia="仿宋" w:cs="仿宋"/>
          <w:color w:val="auto"/>
          <w:sz w:val="24"/>
          <w:szCs w:val="24"/>
          <w:highlight w:val="none"/>
          <w:lang w:val="zh-CN"/>
        </w:rPr>
        <w:t xml:space="preserve">方式可以通过转账或数字人民币等方式。</w:t>
      </w:r>
      <w:r/>
    </w:p>
    <w:p>
      <w:pPr>
        <w:ind w:firstLine="480"/>
        <w:keepLines w:val="0"/>
        <w:keepNext w:val="0"/>
        <w:pageBreakBefore w:val="0"/>
        <w:spacing w:line="560" w:lineRule="exact"/>
        <w:widowControl w:val="off"/>
        <w:rPr>
          <w:rFonts w:hint="eastAsia" w:ascii="仿宋" w:hAnsi="仿宋" w:eastAsia="仿宋" w:cs="仿宋"/>
          <w:b w:val="0"/>
          <w:bCs w:val="0"/>
          <w:color w:val="auto"/>
          <w:sz w:val="24"/>
          <w:szCs w:val="24"/>
          <w:highlight w:val="none"/>
        </w:rPr>
        <w:outlineLvl w:val="2"/>
      </w:pPr>
      <w:r/>
      <w:bookmarkStart w:id="321" w:name="_Toc10"/>
      <w:r>
        <w:rPr>
          <w:rFonts w:hint="eastAsia" w:ascii="仿宋" w:hAnsi="仿宋" w:eastAsia="仿宋" w:cs="仿宋"/>
          <w:b w:val="0"/>
          <w:bCs w:val="0"/>
          <w:color w:val="auto"/>
          <w:sz w:val="24"/>
          <w:szCs w:val="24"/>
          <w:highlight w:val="none"/>
        </w:rPr>
        <w:t xml:space="preserve">5</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磋商文件的约束力</w:t>
      </w:r>
      <w:bookmarkEnd w:id="321"/>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Cs/>
          <w:color w:val="auto"/>
          <w:sz w:val="24"/>
          <w:szCs w:val="24"/>
          <w:highlight w:val="none"/>
        </w:rPr>
        <w:t xml:space="preserve">5.1</w:t>
      </w:r>
      <w:r>
        <w:rPr>
          <w:rFonts w:hint="eastAsia" w:ascii="仿宋" w:hAnsi="仿宋" w:eastAsia="仿宋" w:cs="仿宋"/>
          <w:color w:val="auto"/>
          <w:sz w:val="24"/>
          <w:szCs w:val="24"/>
          <w:highlight w:val="none"/>
        </w:rPr>
        <w:t xml:space="preserve">供应商一旦参加本项目采购活动，即被认为接受了本磋商文件的规定和约束。</w:t>
      </w:r>
      <w:r/>
    </w:p>
    <w:p>
      <w:pPr>
        <w:ind w:firstLine="562"/>
        <w:keepLines w:val="0"/>
        <w:keepNext w:val="0"/>
        <w:pageBreakBefore w:val="0"/>
        <w:spacing w:line="560" w:lineRule="exact"/>
        <w:widowControl w:val="off"/>
        <w:rPr>
          <w:rFonts w:hint="eastAsia" w:ascii="仿宋" w:hAnsi="仿宋" w:eastAsia="仿宋" w:cs="仿宋"/>
          <w:b/>
          <w:bCs/>
          <w:color w:val="auto"/>
          <w:sz w:val="28"/>
          <w:szCs w:val="28"/>
          <w:highlight w:val="none"/>
        </w:rPr>
        <w:outlineLvl w:val="1"/>
      </w:pPr>
      <w:r/>
      <w:bookmarkStart w:id="322" w:name="_Toc11"/>
      <w:r>
        <w:rPr>
          <w:rFonts w:hint="eastAsia" w:ascii="仿宋" w:hAnsi="仿宋" w:eastAsia="仿宋" w:cs="仿宋"/>
          <w:b/>
          <w:bCs/>
          <w:color w:val="auto"/>
          <w:sz w:val="28"/>
          <w:szCs w:val="28"/>
          <w:highlight w:val="none"/>
        </w:rPr>
        <w:t xml:space="preserve">二、</w:t>
      </w:r>
      <w:r>
        <w:rPr>
          <w:rFonts w:hint="eastAsia" w:ascii="仿宋" w:hAnsi="仿宋" w:eastAsia="仿宋" w:cs="仿宋"/>
          <w:b/>
          <w:bCs/>
          <w:color w:val="auto"/>
          <w:sz w:val="28"/>
          <w:szCs w:val="28"/>
          <w:highlight w:val="none"/>
        </w:rPr>
        <w:t xml:space="preserve">磋商文件</w:t>
      </w:r>
      <w:bookmarkEnd w:id="322"/>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2"/>
      </w:pPr>
      <w:r/>
      <w:bookmarkStart w:id="323" w:name="_Toc12"/>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磋商文件构成</w:t>
      </w:r>
      <w:bookmarkEnd w:id="323"/>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3"/>
      </w:pPr>
      <w:r/>
      <w:bookmarkStart w:id="324" w:name="_Toc13"/>
      <w:r>
        <w:rPr>
          <w:rFonts w:hint="eastAsia" w:ascii="仿宋" w:hAnsi="仿宋" w:eastAsia="仿宋" w:cs="仿宋"/>
          <w:bCs/>
          <w:color w:val="auto"/>
          <w:sz w:val="24"/>
          <w:szCs w:val="24"/>
          <w:highlight w:val="none"/>
        </w:rPr>
        <w:t xml:space="preserve">6.1磋商文件由以下部分组成：</w:t>
      </w:r>
      <w:bookmarkEnd w:id="324"/>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（1）磋商邀请</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（2）供应商须知</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（3）合同文本</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（4）采购需求</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（5）评审方法与评审标准</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（6）响应文件格式</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请仔细检查磋商文件是否齐全，如有缺漏请立即与采购代理机构联系解决。</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Cs/>
          <w:color w:val="auto"/>
          <w:sz w:val="24"/>
          <w:szCs w:val="24"/>
          <w:highlight w:val="none"/>
        </w:rPr>
        <w:t xml:space="preserve">6.2</w:t>
      </w:r>
      <w:r>
        <w:rPr>
          <w:rFonts w:hint="eastAsia" w:ascii="仿宋" w:hAnsi="仿宋" w:eastAsia="仿宋" w:cs="仿宋"/>
          <w:color w:val="auto"/>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2"/>
      </w:pPr>
      <w:r/>
      <w:bookmarkStart w:id="325" w:name="_Toc14"/>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磋商文件的澄清</w:t>
      </w:r>
      <w:bookmarkEnd w:id="325"/>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Cs/>
          <w:color w:val="auto"/>
          <w:sz w:val="24"/>
          <w:szCs w:val="24"/>
          <w:highlight w:val="none"/>
        </w:rPr>
        <w:t xml:space="preserve">7.1</w:t>
      </w:r>
      <w:r>
        <w:rPr>
          <w:rFonts w:hint="eastAsia" w:ascii="仿宋" w:hAnsi="仿宋" w:eastAsia="仿宋" w:cs="仿宋"/>
          <w:color w:val="auto"/>
          <w:sz w:val="24"/>
          <w:szCs w:val="24"/>
          <w:highlight w:val="none"/>
        </w:rPr>
        <w:t xml:space="preserve">任何要求对磋商文件进行澄清的供应商，应在磋商截止期5日前按磋商公告中的通讯地址，以书面形式通知采购代理机构。</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2"/>
      </w:pPr>
      <w:r/>
      <w:bookmarkStart w:id="326" w:name="_Toc15"/>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磋商文件的澄清和修改</w:t>
      </w:r>
      <w:bookmarkEnd w:id="326"/>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8.1采购代理机构可以以更正公告的形式，对已发出的磋商文件进行必要的澄清或者修改。澄清或者修改的内容可能影响响应文件编制的，更正公告应在</w:t>
      </w:r>
      <w:r>
        <w:rPr>
          <w:rFonts w:hint="eastAsia" w:ascii="仿宋" w:hAnsi="仿宋" w:eastAsia="仿宋" w:cs="仿宋"/>
          <w:color w:val="auto"/>
          <w:sz w:val="24"/>
          <w:szCs w:val="24"/>
          <w:highlight w:val="none"/>
        </w:rPr>
        <w:t xml:space="preserve">提交首次响应文件截止时间</w:t>
      </w:r>
      <w:r>
        <w:rPr>
          <w:rFonts w:hint="eastAsia" w:ascii="仿宋" w:hAnsi="仿宋" w:eastAsia="仿宋" w:cs="仿宋"/>
          <w:bCs/>
          <w:color w:val="auto"/>
          <w:sz w:val="24"/>
          <w:szCs w:val="24"/>
          <w:highlight w:val="none"/>
        </w:rPr>
        <w:t xml:space="preserve">至少5日前发出；不足5日的，采购代理机构应当顺延</w:t>
      </w:r>
      <w:r>
        <w:rPr>
          <w:rFonts w:hint="eastAsia" w:ascii="仿宋" w:hAnsi="仿宋" w:eastAsia="仿宋" w:cs="仿宋"/>
          <w:color w:val="auto"/>
          <w:sz w:val="24"/>
          <w:szCs w:val="24"/>
          <w:highlight w:val="none"/>
        </w:rPr>
        <w:t xml:space="preserve">提交首次响应文件截止时间</w:t>
      </w:r>
      <w:r>
        <w:rPr>
          <w:rFonts w:hint="eastAsia" w:ascii="仿宋" w:hAnsi="仿宋" w:eastAsia="仿宋" w:cs="仿宋"/>
          <w:bCs/>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8.2</w:t>
      </w:r>
      <w:r>
        <w:rPr>
          <w:rFonts w:hint="eastAsia" w:ascii="仿宋" w:hAnsi="仿宋" w:eastAsia="仿宋" w:cs="仿宋"/>
          <w:color w:val="auto"/>
          <w:sz w:val="24"/>
          <w:szCs w:val="24"/>
          <w:highlight w:val="none"/>
        </w:rPr>
        <w:t xml:space="preserve">在响应文件提交截止时间前</w:t>
      </w:r>
      <w:r>
        <w:rPr>
          <w:rFonts w:hint="eastAsia" w:ascii="仿宋" w:hAnsi="仿宋" w:eastAsia="仿宋" w:cs="仿宋"/>
          <w:bCs/>
          <w:color w:val="auto"/>
          <w:sz w:val="24"/>
          <w:szCs w:val="24"/>
          <w:highlight w:val="none"/>
        </w:rPr>
        <w:t xml:space="preserve">，采购代理机构可以对磋商文件进行修改。</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8.3采购代理机构有权按照法定的要求推迟响应文件递交截止日期和磋商日期。</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8.4磋商文件的修改将在原公告媒体上发布更正公告，</w:t>
      </w:r>
      <w:r>
        <w:rPr>
          <w:rFonts w:hint="eastAsia" w:ascii="仿宋" w:hAnsi="仿宋" w:eastAsia="仿宋" w:cs="仿宋"/>
          <w:color w:val="auto"/>
          <w:sz w:val="24"/>
          <w:szCs w:val="24"/>
          <w:highlight w:val="none"/>
        </w:rPr>
        <w:t xml:space="preserve">更正公告内容将作为磋商文件的组成部分</w:t>
      </w:r>
      <w:r>
        <w:rPr>
          <w:rFonts w:hint="eastAsia" w:ascii="仿宋" w:hAnsi="仿宋" w:eastAsia="仿宋" w:cs="仿宋"/>
          <w:bCs/>
          <w:color w:val="auto"/>
          <w:sz w:val="24"/>
          <w:szCs w:val="24"/>
          <w:highlight w:val="none"/>
        </w:rPr>
        <w:t xml:space="preserve">，并对供应商具有约束力，发布的更正公告视同为以书面形式通知所有获取招标文件的潜在</w:t>
      </w:r>
      <w:r>
        <w:rPr>
          <w:rFonts w:hint="eastAsia" w:ascii="仿宋" w:hAnsi="仿宋" w:eastAsia="仿宋" w:cs="仿宋"/>
          <w:bCs/>
          <w:color w:val="auto"/>
          <w:sz w:val="24"/>
          <w:szCs w:val="24"/>
          <w:highlight w:val="none"/>
          <w:lang w:eastAsia="zh-CN"/>
        </w:rPr>
        <w:t xml:space="preserve">供应商</w:t>
      </w:r>
      <w:r>
        <w:rPr>
          <w:rFonts w:hint="eastAsia" w:ascii="仿宋" w:hAnsi="仿宋" w:eastAsia="仿宋" w:cs="仿宋"/>
          <w:bCs/>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8.5供应商应及时登录“苏采云”系统获取澄清答疑文件（修改后磋商文件），如因供应商原因未能及时下载澄清和修改后的磋商文件，由此造成的相关责任，由供应商承担。</w:t>
      </w:r>
      <w:r/>
    </w:p>
    <w:p>
      <w:pPr>
        <w:ind w:firstLine="562"/>
        <w:keepLines w:val="0"/>
        <w:keepNext w:val="0"/>
        <w:pageBreakBefore w:val="0"/>
        <w:spacing w:line="560" w:lineRule="exact"/>
        <w:widowControl w:val="off"/>
        <w:rPr>
          <w:rFonts w:hint="eastAsia" w:ascii="仿宋" w:hAnsi="仿宋" w:eastAsia="仿宋" w:cs="仿宋"/>
          <w:b/>
          <w:bCs/>
          <w:color w:val="auto"/>
          <w:sz w:val="28"/>
          <w:szCs w:val="28"/>
          <w:highlight w:val="none"/>
        </w:rPr>
        <w:outlineLvl w:val="1"/>
      </w:pPr>
      <w:r/>
      <w:bookmarkStart w:id="327" w:name="_Toc16"/>
      <w:r>
        <w:rPr>
          <w:rFonts w:hint="eastAsia" w:ascii="仿宋" w:hAnsi="仿宋" w:eastAsia="仿宋" w:cs="仿宋"/>
          <w:b/>
          <w:bCs/>
          <w:color w:val="auto"/>
          <w:sz w:val="28"/>
          <w:szCs w:val="28"/>
          <w:highlight w:val="none"/>
        </w:rPr>
        <w:t xml:space="preserve">三、响应文件的编制</w:t>
      </w:r>
      <w:bookmarkEnd w:id="327"/>
      <w:r/>
      <w:r/>
    </w:p>
    <w:p>
      <w:pPr>
        <w:ind w:firstLine="480"/>
        <w:keepLines w:val="0"/>
        <w:keepNext w:val="0"/>
        <w:pageBreakBefore w:val="0"/>
        <w:spacing w:line="560" w:lineRule="exact"/>
        <w:widowControl w:val="off"/>
        <w:rPr>
          <w:rFonts w:hint="eastAsia" w:ascii="仿宋" w:hAnsi="仿宋" w:eastAsia="仿宋" w:cs="仿宋"/>
          <w:b/>
          <w:color w:val="auto"/>
          <w:sz w:val="24"/>
          <w:szCs w:val="24"/>
          <w:highlight w:val="none"/>
        </w:rPr>
        <w:outlineLvl w:val="2"/>
      </w:pPr>
      <w:r/>
      <w:bookmarkStart w:id="328" w:name="_Toc17"/>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响应文件的语言及度量衡单位</w:t>
      </w:r>
      <w:bookmarkEnd w:id="328"/>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Cs/>
          <w:color w:val="auto"/>
          <w:sz w:val="24"/>
          <w:szCs w:val="24"/>
          <w:highlight w:val="none"/>
        </w:rPr>
        <w:t xml:space="preserve">9.1</w:t>
      </w:r>
      <w:r>
        <w:rPr>
          <w:rFonts w:hint="eastAsia" w:ascii="仿宋" w:hAnsi="仿宋" w:eastAsia="仿宋" w:cs="仿宋"/>
          <w:color w:val="auto"/>
          <w:sz w:val="24"/>
          <w:szCs w:val="24"/>
          <w:highlight w:val="none"/>
        </w:rPr>
        <w:t xml:space="preserve">供应商提交的响应文件以及供应商与采购代理机构就有关磋商的所有来往通知、函件和文件均应使用</w:t>
      </w:r>
      <w:r>
        <w:rPr>
          <w:rFonts w:hint="eastAsia" w:ascii="仿宋" w:hAnsi="仿宋" w:eastAsia="仿宋" w:cs="仿宋"/>
          <w:b/>
          <w:bCs/>
          <w:color w:val="auto"/>
          <w:sz w:val="24"/>
          <w:szCs w:val="24"/>
          <w:highlight w:val="none"/>
        </w:rPr>
        <w:t xml:space="preserve">简体中文</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Cs/>
          <w:color w:val="auto"/>
          <w:sz w:val="24"/>
          <w:szCs w:val="24"/>
          <w:highlight w:val="none"/>
        </w:rPr>
        <w:t xml:space="preserve">9.2</w:t>
      </w:r>
      <w:r>
        <w:rPr>
          <w:rFonts w:hint="eastAsia" w:ascii="仿宋" w:hAnsi="仿宋" w:eastAsia="仿宋" w:cs="仿宋"/>
          <w:color w:val="auto"/>
          <w:sz w:val="24"/>
          <w:szCs w:val="24"/>
          <w:highlight w:val="none"/>
        </w:rPr>
        <w:t xml:space="preserve">除技术性能另有规定外，响应文件所使用的度量衡单位，均须采用国家法定计量单位。</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2"/>
      </w:pPr>
      <w:r/>
      <w:bookmarkStart w:id="329" w:name="_Toc18"/>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响应文件构成</w:t>
      </w:r>
      <w:bookmarkEnd w:id="329"/>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Cs/>
          <w:color w:val="auto"/>
          <w:sz w:val="24"/>
          <w:szCs w:val="24"/>
          <w:highlight w:val="none"/>
          <w:lang w:val="zh-CN"/>
        </w:rPr>
        <w:t xml:space="preserve">各供应商在编制</w:t>
      </w:r>
      <w:r>
        <w:rPr>
          <w:rFonts w:hint="eastAsia" w:ascii="仿宋" w:hAnsi="仿宋" w:eastAsia="仿宋" w:cs="仿宋"/>
          <w:bCs/>
          <w:color w:val="auto"/>
          <w:sz w:val="24"/>
          <w:szCs w:val="24"/>
          <w:highlight w:val="none"/>
        </w:rPr>
        <w:t xml:space="preserve">响应文件</w:t>
      </w:r>
      <w:r>
        <w:rPr>
          <w:rFonts w:hint="eastAsia" w:ascii="仿宋" w:hAnsi="仿宋" w:eastAsia="仿宋" w:cs="仿宋"/>
          <w:bCs/>
          <w:color w:val="auto"/>
          <w:sz w:val="24"/>
          <w:szCs w:val="24"/>
          <w:highlight w:val="none"/>
          <w:lang w:val="zh-CN"/>
        </w:rPr>
        <w:t xml:space="preserve">时请按照磋商文件第六</w:t>
      </w:r>
      <w:r>
        <w:rPr>
          <w:rFonts w:hint="eastAsia" w:ascii="仿宋" w:hAnsi="仿宋" w:eastAsia="仿宋" w:cs="仿宋"/>
          <w:bCs/>
          <w:color w:val="auto"/>
          <w:sz w:val="24"/>
          <w:szCs w:val="24"/>
          <w:highlight w:val="none"/>
        </w:rPr>
        <w:t xml:space="preserve">章</w:t>
      </w:r>
      <w:r>
        <w:rPr>
          <w:rFonts w:hint="eastAsia" w:ascii="仿宋" w:hAnsi="仿宋" w:eastAsia="仿宋" w:cs="仿宋"/>
          <w:bCs/>
          <w:color w:val="auto"/>
          <w:sz w:val="24"/>
          <w:szCs w:val="24"/>
          <w:highlight w:val="none"/>
          <w:lang w:val="zh-CN"/>
        </w:rPr>
        <w:t xml:space="preserve">规定的格式进行，混乱的编排导致</w:t>
      </w:r>
      <w:r>
        <w:rPr>
          <w:rFonts w:hint="eastAsia" w:ascii="仿宋" w:hAnsi="仿宋" w:eastAsia="仿宋" w:cs="仿宋"/>
          <w:bCs/>
          <w:color w:val="auto"/>
          <w:sz w:val="24"/>
          <w:szCs w:val="24"/>
          <w:highlight w:val="none"/>
        </w:rPr>
        <w:t xml:space="preserve">响应</w:t>
      </w:r>
      <w:r>
        <w:rPr>
          <w:rFonts w:hint="eastAsia" w:ascii="仿宋" w:hAnsi="仿宋" w:eastAsia="仿宋" w:cs="仿宋"/>
          <w:bCs/>
          <w:color w:val="auto"/>
          <w:sz w:val="24"/>
          <w:szCs w:val="24"/>
          <w:highlight w:val="none"/>
          <w:lang w:val="zh-CN"/>
        </w:rPr>
        <w:t xml:space="preserve">文件被误读或磋商小组查找不到有效文件是供应商的风险。</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10.2供应商编写的响应文件应包括资格证明文件、</w:t>
      </w:r>
      <w:r>
        <w:rPr>
          <w:rFonts w:hint="eastAsia" w:ascii="仿宋" w:hAnsi="仿宋" w:eastAsia="仿宋" w:cs="仿宋"/>
          <w:color w:val="auto"/>
          <w:sz w:val="24"/>
          <w:szCs w:val="24"/>
          <w:highlight w:val="none"/>
          <w:lang w:eastAsia="zh-CN"/>
        </w:rPr>
        <w:t xml:space="preserve">已标价的工程量清单</w:t>
      </w:r>
      <w:r>
        <w:rPr>
          <w:rFonts w:hint="eastAsia" w:ascii="仿宋" w:hAnsi="仿宋" w:eastAsia="仿宋" w:cs="仿宋"/>
          <w:color w:val="auto"/>
          <w:sz w:val="24"/>
          <w:szCs w:val="24"/>
          <w:highlight w:val="none"/>
        </w:rPr>
        <w:t xml:space="preserve">、其他证明文件、磋商申请及声明函、开标一览表等部分。</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10.3响应文件须加盖电子签章之处，应按要求加盖</w:t>
      </w:r>
      <w:r>
        <w:rPr>
          <w:rFonts w:hint="eastAsia" w:ascii="仿宋" w:hAnsi="仿宋" w:eastAsia="仿宋" w:cs="仿宋"/>
          <w:bCs/>
          <w:color w:val="auto"/>
          <w:sz w:val="24"/>
          <w:szCs w:val="24"/>
          <w:highlight w:val="none"/>
          <w:lang w:val="zh-CN"/>
        </w:rPr>
        <w:t xml:space="preserve">供应商</w:t>
      </w:r>
      <w:r>
        <w:rPr>
          <w:rFonts w:hint="eastAsia" w:ascii="仿宋" w:hAnsi="仿宋" w:eastAsia="仿宋" w:cs="仿宋"/>
          <w:bCs/>
          <w:color w:val="auto"/>
          <w:sz w:val="24"/>
          <w:szCs w:val="24"/>
          <w:highlight w:val="none"/>
        </w:rPr>
        <w:t xml:space="preserve">数字证书的电子签章。其他需要盖章但未明确要求电子签章的，</w:t>
      </w:r>
      <w:r>
        <w:rPr>
          <w:rFonts w:hint="eastAsia" w:ascii="仿宋" w:hAnsi="仿宋" w:eastAsia="仿宋" w:cs="仿宋"/>
          <w:bCs/>
          <w:color w:val="auto"/>
          <w:sz w:val="24"/>
          <w:szCs w:val="24"/>
          <w:highlight w:val="none"/>
          <w:lang w:val="zh-CN"/>
        </w:rPr>
        <w:t xml:space="preserve">供应商</w:t>
      </w:r>
      <w:r>
        <w:rPr>
          <w:rFonts w:hint="eastAsia" w:ascii="仿宋" w:hAnsi="仿宋" w:eastAsia="仿宋" w:cs="仿宋"/>
          <w:bCs/>
          <w:color w:val="auto"/>
          <w:sz w:val="24"/>
          <w:szCs w:val="24"/>
          <w:highlight w:val="none"/>
        </w:rPr>
        <w:t xml:space="preserve">可按要求加盖公章后上传材料电子件或直接加盖电子签章。</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10.4本项目通过“苏采云”系统进行电子招标投标，即</w:t>
      </w:r>
      <w:r>
        <w:rPr>
          <w:rFonts w:hint="eastAsia" w:ascii="仿宋" w:hAnsi="仿宋" w:eastAsia="仿宋" w:cs="仿宋"/>
          <w:bCs/>
          <w:color w:val="auto"/>
          <w:sz w:val="24"/>
          <w:szCs w:val="24"/>
          <w:highlight w:val="none"/>
          <w:lang w:val="zh-CN"/>
        </w:rPr>
        <w:t xml:space="preserve">供应商</w:t>
      </w:r>
      <w:r>
        <w:rPr>
          <w:rFonts w:hint="eastAsia" w:ascii="仿宋" w:hAnsi="仿宋" w:eastAsia="仿宋" w:cs="仿宋"/>
          <w:bCs/>
          <w:color w:val="auto"/>
          <w:sz w:val="24"/>
          <w:szCs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仿宋" w:hAnsi="仿宋" w:eastAsia="仿宋" w:cs="仿宋"/>
          <w:bCs/>
          <w:color w:val="auto"/>
          <w:sz w:val="24"/>
          <w:szCs w:val="24"/>
          <w:highlight w:val="none"/>
          <w:lang w:val="zh-CN"/>
        </w:rPr>
        <w:t xml:space="preserve">供应商</w:t>
      </w:r>
      <w:r>
        <w:rPr>
          <w:rFonts w:hint="eastAsia" w:ascii="仿宋" w:hAnsi="仿宋" w:eastAsia="仿宋" w:cs="仿宋"/>
          <w:bCs/>
          <w:color w:val="auto"/>
          <w:sz w:val="24"/>
          <w:szCs w:val="24"/>
          <w:highlight w:val="none"/>
        </w:rPr>
        <w:t xml:space="preserve">，按照无效响应处理</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因“苏采云”系统导致解密失败的除外</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10.5如标书制作工具中</w:t>
      </w:r>
      <w:r>
        <w:rPr>
          <w:rFonts w:hint="eastAsia" w:ascii="仿宋" w:hAnsi="仿宋" w:eastAsia="仿宋" w:cs="仿宋"/>
          <w:bCs/>
          <w:color w:val="auto"/>
          <w:sz w:val="24"/>
          <w:szCs w:val="24"/>
          <w:highlight w:val="none"/>
          <w:lang w:eastAsia="zh-CN"/>
        </w:rPr>
        <w:t xml:space="preserve">的</w:t>
      </w:r>
      <w:r>
        <w:rPr>
          <w:rFonts w:hint="eastAsia" w:ascii="仿宋" w:hAnsi="仿宋" w:eastAsia="仿宋" w:cs="仿宋"/>
          <w:bCs/>
          <w:color w:val="auto"/>
          <w:sz w:val="24"/>
          <w:szCs w:val="24"/>
          <w:highlight w:val="none"/>
        </w:rPr>
        <w:t xml:space="preserve">格式和内容与“宿迁市政府采购网”发布的磋商文件不一致，请以“宿迁市政府采购网”发布的磋商文件为准。</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10.6成交后按相关要求提供与电子响应文件一致的纸质打印响应文件</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份。</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bookmarkStart w:id="118" w:name="EBc50e2bb832bb43068403b10c1cce6141"/>
      <w:r>
        <w:rPr>
          <w:rFonts w:hint="eastAsia" w:ascii="仿宋" w:hAnsi="仿宋" w:eastAsia="仿宋" w:cs="仿宋"/>
          <w:bCs/>
          <w:color w:val="auto"/>
          <w:sz w:val="24"/>
          <w:szCs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18"/>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2"/>
      </w:pPr>
      <w:r/>
      <w:bookmarkStart w:id="330" w:name="_Toc19"/>
      <w:r/>
      <w:bookmarkStart w:id="119" w:name="_Hlt26668975"/>
      <w:r/>
      <w:bookmarkEnd w:id="119"/>
      <w:r/>
      <w:bookmarkStart w:id="120" w:name="_Hlt26954838"/>
      <w:r/>
      <w:bookmarkEnd w:id="120"/>
      <w:r/>
      <w:bookmarkStart w:id="121" w:name="_Hlt26670360"/>
      <w:r/>
      <w:bookmarkEnd w:id="121"/>
      <w:r>
        <w:rPr>
          <w:rFonts w:hint="eastAsia" w:ascii="仿宋" w:hAnsi="仿宋" w:eastAsia="仿宋" w:cs="仿宋"/>
          <w:color w:val="auto"/>
          <w:sz w:val="24"/>
          <w:szCs w:val="24"/>
          <w:highlight w:val="none"/>
        </w:rPr>
        <w:t xml:space="preserve">11</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证明磋商响应标的符合磋商文件规定的文件</w:t>
      </w:r>
      <w:bookmarkEnd w:id="330"/>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11.1供应商应按照磋商文件要求提交证明文件，证明其及磋商响应标的符合磋商文件规定。</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11.2磋商文件对证明文件无明确形式要求的，证明文件可以以文字资料和数据等形式提交。</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eastAsia="zh-CN"/>
        </w:rPr>
        <w:outlineLvl w:val="2"/>
      </w:pPr>
      <w:r/>
      <w:bookmarkStart w:id="331" w:name="_Toc20"/>
      <w:r>
        <w:rPr>
          <w:rFonts w:hint="eastAsia" w:ascii="仿宋" w:hAnsi="仿宋" w:eastAsia="仿宋" w:cs="仿宋"/>
          <w:color w:val="auto"/>
          <w:sz w:val="24"/>
          <w:szCs w:val="24"/>
          <w:highlight w:val="none"/>
        </w:rPr>
        <w:t xml:space="preserve">12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已标价的工程量清单</w:t>
      </w:r>
      <w:bookmarkEnd w:id="331"/>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3"/>
      </w:pPr>
      <w:r/>
      <w:bookmarkStart w:id="332" w:name="_Toc21"/>
      <w:r>
        <w:rPr>
          <w:rFonts w:hint="eastAsia" w:ascii="仿宋" w:hAnsi="仿宋" w:eastAsia="仿宋" w:cs="仿宋"/>
          <w:bCs/>
          <w:color w:val="auto"/>
          <w:sz w:val="24"/>
          <w:szCs w:val="24"/>
          <w:highlight w:val="none"/>
        </w:rPr>
        <w:t xml:space="preserve">12.1供应商应按照磋商文件规定格式填报</w:t>
      </w:r>
      <w:r>
        <w:rPr>
          <w:rFonts w:hint="eastAsia" w:ascii="仿宋" w:hAnsi="仿宋" w:eastAsia="仿宋" w:cs="仿宋"/>
          <w:bCs/>
          <w:color w:val="auto"/>
          <w:sz w:val="24"/>
          <w:szCs w:val="24"/>
          <w:highlight w:val="none"/>
          <w:lang w:eastAsia="zh-CN"/>
        </w:rPr>
        <w:t xml:space="preserve">已标价的工程量清单</w:t>
      </w:r>
      <w:r>
        <w:rPr>
          <w:rFonts w:hint="eastAsia" w:ascii="仿宋" w:hAnsi="仿宋" w:eastAsia="仿宋" w:cs="仿宋"/>
          <w:bCs/>
          <w:color w:val="auto"/>
          <w:sz w:val="24"/>
          <w:szCs w:val="24"/>
          <w:highlight w:val="none"/>
        </w:rPr>
        <w:t xml:space="preserve">。</w:t>
      </w:r>
      <w:bookmarkEnd w:id="332"/>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3"/>
      </w:pPr>
      <w:r/>
      <w:bookmarkStart w:id="333" w:name="_Toc22"/>
      <w:r>
        <w:rPr>
          <w:rFonts w:hint="eastAsia" w:ascii="仿宋" w:hAnsi="仿宋" w:eastAsia="仿宋" w:cs="仿宋"/>
          <w:bCs/>
          <w:color w:val="auto"/>
          <w:sz w:val="24"/>
          <w:szCs w:val="24"/>
          <w:highlight w:val="none"/>
        </w:rPr>
        <w:t xml:space="preserve">12.1.1报价方式：①采用工程量清单计价。②供应商根据采购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w:t>
      </w:r>
      <w:r>
        <w:rPr>
          <w:rFonts w:hint="eastAsia" w:ascii="仿宋" w:hAnsi="仿宋" w:eastAsia="仿宋" w:cs="仿宋"/>
          <w:bCs/>
          <w:color w:val="auto"/>
          <w:sz w:val="24"/>
          <w:szCs w:val="24"/>
          <w:highlight w:val="none"/>
          <w:lang w:eastAsia="zh-CN"/>
        </w:rPr>
        <w:t xml:space="preserve">它所</w:t>
      </w:r>
      <w:r>
        <w:rPr>
          <w:rFonts w:hint="eastAsia" w:ascii="仿宋" w:hAnsi="仿宋" w:eastAsia="仿宋" w:cs="仿宋"/>
          <w:bCs/>
          <w:color w:val="auto"/>
          <w:sz w:val="24"/>
          <w:szCs w:val="24"/>
          <w:highlight w:val="none"/>
        </w:rPr>
        <w:t xml:space="preserve">有价款的单价或合价内。</w:t>
      </w:r>
      <w:bookmarkEnd w:id="333"/>
      <w:r/>
      <w:r/>
    </w:p>
    <w:p>
      <w:pPr>
        <w:ind w:firstLine="480"/>
        <w:keepLines w:val="0"/>
        <w:keepNext w:val="0"/>
        <w:pageBreakBefore w:val="0"/>
        <w:spacing w:line="560" w:lineRule="exact"/>
        <w:widowControl w:val="off"/>
        <w:rPr>
          <w:rFonts w:hint="eastAsia" w:ascii="仿宋" w:hAnsi="仿宋" w:eastAsia="仿宋" w:cs="仿宋"/>
          <w:b w:val="0"/>
          <w:bCs w:val="0"/>
          <w:color w:val="auto"/>
          <w:sz w:val="24"/>
          <w:szCs w:val="24"/>
          <w:highlight w:val="none"/>
        </w:rPr>
        <w:outlineLvl w:val="3"/>
      </w:pPr>
      <w:r/>
      <w:bookmarkStart w:id="334" w:name="_Toc23"/>
      <w:r>
        <w:rPr>
          <w:rFonts w:hint="eastAsia" w:ascii="仿宋" w:hAnsi="仿宋" w:eastAsia="仿宋" w:cs="仿宋"/>
          <w:bCs/>
          <w:color w:val="auto"/>
          <w:sz w:val="24"/>
          <w:szCs w:val="24"/>
          <w:highlight w:val="none"/>
        </w:rPr>
        <w:t xml:space="preserve">12.1.2报价编制的参考依据：</w:t>
      </w:r>
      <w:r>
        <w:rPr>
          <w:rFonts w:hint="eastAsia" w:ascii="仿宋" w:hAnsi="仿宋" w:eastAsia="仿宋" w:cs="仿宋"/>
          <w:b w:val="0"/>
          <w:bCs w:val="0"/>
          <w:color w:val="auto"/>
          <w:sz w:val="24"/>
          <w:szCs w:val="24"/>
          <w:highlight w:val="none"/>
        </w:rPr>
        <w:t xml:space="preserve">①《建设工程工程量清单计价规范》(GB50500—2013)、《江苏省建筑与装饰工程计价定额》（2014）</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《江苏省市政工程计价定额》(2014)、</w:t>
      </w:r>
      <w:r>
        <w:rPr>
          <w:rFonts w:hint="eastAsia" w:ascii="仿宋" w:hAnsi="仿宋" w:eastAsia="仿宋" w:cs="仿宋"/>
          <w:b w:val="0"/>
          <w:bCs w:val="0"/>
          <w:color w:val="auto"/>
          <w:sz w:val="24"/>
          <w:szCs w:val="24"/>
          <w:highlight w:val="none"/>
          <w:lang w:val="en-US" w:eastAsia="zh-CN"/>
        </w:rPr>
        <w:t xml:space="preserve">《江苏省安装工程计价定额》</w:t>
      </w:r>
      <w:r>
        <w:rPr>
          <w:rFonts w:hint="eastAsia" w:ascii="仿宋" w:hAnsi="仿宋" w:eastAsia="仿宋" w:cs="仿宋"/>
          <w:b w:val="0"/>
          <w:bCs w:val="0"/>
          <w:color w:val="auto"/>
          <w:sz w:val="24"/>
          <w:szCs w:val="24"/>
          <w:highlight w:val="none"/>
        </w:rPr>
        <w:t xml:space="preserve">(2014)</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《江苏省</w:t>
      </w:r>
      <w:r>
        <w:rPr>
          <w:rFonts w:hint="eastAsia" w:ascii="仿宋" w:hAnsi="仿宋" w:eastAsia="仿宋" w:cs="仿宋"/>
          <w:b w:val="0"/>
          <w:bCs w:val="0"/>
          <w:color w:val="auto"/>
          <w:sz w:val="24"/>
          <w:szCs w:val="24"/>
          <w:highlight w:val="none"/>
          <w:lang w:eastAsia="zh-CN"/>
        </w:rPr>
        <w:t xml:space="preserve">建设</w:t>
      </w:r>
      <w:r>
        <w:rPr>
          <w:rFonts w:hint="eastAsia" w:ascii="仿宋" w:hAnsi="仿宋" w:eastAsia="仿宋" w:cs="仿宋"/>
          <w:b w:val="0"/>
          <w:bCs w:val="0"/>
          <w:color w:val="auto"/>
          <w:sz w:val="24"/>
          <w:szCs w:val="24"/>
          <w:highlight w:val="none"/>
        </w:rPr>
        <w:t xml:space="preserve">工程费用定额》（2014）</w:t>
      </w:r>
      <w:r>
        <w:rPr>
          <w:rFonts w:hint="eastAsia" w:ascii="仿宋" w:hAnsi="仿宋" w:eastAsia="仿宋" w:cs="仿宋"/>
          <w:b w:val="0"/>
          <w:bCs w:val="0"/>
          <w:color w:val="auto"/>
          <w:sz w:val="24"/>
          <w:szCs w:val="24"/>
          <w:highlight w:val="none"/>
          <w:lang w:eastAsia="zh-CN"/>
        </w:rPr>
        <w:t xml:space="preserve">及配套文件</w:t>
      </w:r>
      <w:r>
        <w:rPr>
          <w:rFonts w:hint="eastAsia" w:ascii="仿宋" w:hAnsi="仿宋" w:eastAsia="仿宋" w:cs="仿宋"/>
          <w:b w:val="0"/>
          <w:bCs w:val="0"/>
          <w:color w:val="auto"/>
          <w:sz w:val="24"/>
          <w:szCs w:val="24"/>
          <w:highlight w:val="none"/>
        </w:rPr>
        <w:t xml:space="preserve">等相关规范；②执行苏建价〔2023〕391号《省住房城乡建设厅关于建筑业实施营改增后江苏省建设工程计价依据调整的通知》</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造价主管部门发布的</w:t>
      </w:r>
      <w:r>
        <w:rPr>
          <w:rFonts w:hint="eastAsia" w:ascii="仿宋" w:hAnsi="仿宋" w:eastAsia="仿宋" w:cs="仿宋"/>
          <w:b w:val="0"/>
          <w:bCs w:val="0"/>
          <w:color w:val="auto"/>
          <w:sz w:val="24"/>
          <w:szCs w:val="24"/>
          <w:highlight w:val="none"/>
          <w:lang w:eastAsia="zh-CN"/>
        </w:rPr>
        <w:t xml:space="preserve">其他</w:t>
      </w:r>
      <w:r>
        <w:rPr>
          <w:rFonts w:hint="eastAsia" w:ascii="仿宋" w:hAnsi="仿宋" w:eastAsia="仿宋" w:cs="仿宋"/>
          <w:b w:val="0"/>
          <w:bCs w:val="0"/>
          <w:color w:val="auto"/>
          <w:sz w:val="24"/>
          <w:szCs w:val="24"/>
          <w:highlight w:val="none"/>
        </w:rPr>
        <w:t xml:space="preserve">相关计价文件；③执行苏建函价〔2019〕178号《江苏</w:t>
      </w:r>
      <w:r>
        <w:rPr>
          <w:rFonts w:hint="eastAsia" w:ascii="仿宋" w:hAnsi="仿宋" w:eastAsia="仿宋" w:cs="仿宋"/>
          <w:b w:val="0"/>
          <w:bCs w:val="0"/>
          <w:color w:val="auto"/>
          <w:sz w:val="24"/>
          <w:szCs w:val="24"/>
          <w:highlight w:val="none"/>
          <w:lang w:val="en-US" w:eastAsia="zh-CN"/>
        </w:rPr>
        <w:t xml:space="preserve">省</w:t>
      </w:r>
      <w:r>
        <w:rPr>
          <w:rFonts w:hint="eastAsia" w:ascii="仿宋" w:hAnsi="仿宋" w:eastAsia="仿宋" w:cs="仿宋"/>
          <w:b w:val="0"/>
          <w:bCs w:val="0"/>
          <w:color w:val="auto"/>
          <w:sz w:val="24"/>
          <w:szCs w:val="24"/>
          <w:highlight w:val="none"/>
        </w:rPr>
        <w:t xml:space="preserve">住房和城乡建设厅关于建筑业增值税计价政策调整的通知》；④</w:t>
      </w:r>
      <w:r>
        <w:rPr>
          <w:rFonts w:hint="eastAsia" w:ascii="仿宋" w:hAnsi="仿宋" w:eastAsia="仿宋" w:cs="仿宋"/>
          <w:b w:val="0"/>
          <w:bCs w:val="0"/>
          <w:color w:val="auto"/>
          <w:sz w:val="24"/>
          <w:szCs w:val="24"/>
          <w:highlight w:val="none"/>
          <w:lang w:val="en-US" w:eastAsia="zh-CN"/>
        </w:rPr>
        <w:t xml:space="preserve">磋商文件、磋商答疑、工程量清单、设计、施工规范等；⑤</w:t>
      </w:r>
      <w:r>
        <w:rPr>
          <w:rFonts w:hint="eastAsia" w:ascii="仿宋" w:hAnsi="仿宋" w:eastAsia="仿宋" w:cs="仿宋"/>
          <w:b w:val="0"/>
          <w:bCs w:val="0"/>
          <w:color w:val="auto"/>
          <w:sz w:val="24"/>
          <w:szCs w:val="24"/>
          <w:highlight w:val="none"/>
        </w:rPr>
        <w:t xml:space="preserve">其他相关</w:t>
      </w:r>
      <w:r>
        <w:rPr>
          <w:rFonts w:hint="eastAsia" w:ascii="仿宋" w:hAnsi="仿宋" w:eastAsia="仿宋" w:cs="仿宋"/>
          <w:b w:val="0"/>
          <w:bCs w:val="0"/>
          <w:color w:val="auto"/>
          <w:sz w:val="24"/>
          <w:szCs w:val="24"/>
          <w:highlight w:val="none"/>
          <w:lang w:eastAsia="zh-CN"/>
        </w:rPr>
        <w:t xml:space="preserve">文件规定</w:t>
      </w:r>
      <w:r>
        <w:rPr>
          <w:rFonts w:hint="eastAsia" w:ascii="仿宋" w:hAnsi="仿宋" w:eastAsia="仿宋" w:cs="仿宋"/>
          <w:b w:val="0"/>
          <w:bCs w:val="0"/>
          <w:color w:val="auto"/>
          <w:sz w:val="24"/>
          <w:szCs w:val="24"/>
          <w:highlight w:val="none"/>
        </w:rPr>
        <w:t xml:space="preserve">。</w:t>
      </w:r>
      <w:bookmarkEnd w:id="334"/>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3"/>
      </w:pPr>
      <w:r/>
      <w:bookmarkStart w:id="335" w:name="_Toc24"/>
      <w:r>
        <w:rPr>
          <w:rFonts w:hint="eastAsia" w:ascii="仿宋" w:hAnsi="仿宋" w:eastAsia="仿宋" w:cs="仿宋"/>
          <w:color w:val="auto"/>
          <w:sz w:val="24"/>
          <w:szCs w:val="24"/>
          <w:highlight w:val="none"/>
        </w:rPr>
        <w:t xml:space="preserve">12.2</w:t>
      </w:r>
      <w:r>
        <w:rPr>
          <w:rFonts w:hint="eastAsia" w:ascii="仿宋" w:hAnsi="仿宋" w:eastAsia="仿宋" w:cs="仿宋"/>
          <w:bCs/>
          <w:color w:val="auto"/>
          <w:sz w:val="24"/>
          <w:szCs w:val="24"/>
          <w:highlight w:val="none"/>
        </w:rPr>
        <w:t xml:space="preserve">磋商货币。响应文件中的单价和总价无特殊规定的采用人民币报价，以元为单位标注。</w:t>
      </w:r>
      <w:r>
        <w:rPr>
          <w:rFonts w:hint="eastAsia" w:ascii="仿宋" w:hAnsi="仿宋" w:eastAsia="仿宋" w:cs="仿宋"/>
          <w:color w:val="auto"/>
          <w:sz w:val="24"/>
          <w:szCs w:val="24"/>
          <w:highlight w:val="none"/>
        </w:rPr>
        <w:t xml:space="preserve">磋商文件中另有规定的按规定执行。</w:t>
      </w:r>
      <w:bookmarkEnd w:id="335"/>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3"/>
      </w:pPr>
      <w:r/>
      <w:bookmarkStart w:id="336" w:name="_Toc25"/>
      <w:r>
        <w:rPr>
          <w:rFonts w:hint="eastAsia" w:ascii="仿宋" w:hAnsi="仿宋" w:eastAsia="仿宋" w:cs="仿宋"/>
          <w:bCs/>
          <w:color w:val="auto"/>
          <w:sz w:val="24"/>
          <w:szCs w:val="24"/>
          <w:highlight w:val="none"/>
        </w:rPr>
        <w:t xml:space="preserve">12.3本项目不接受备选的投标方案或有选择的报价，只允许有一个报价。供应商响应文件中的报价作为首次报价，不公开；以最后报价作为评审价。投标报价内容包括：</w:t>
      </w:r>
      <w:bookmarkStart w:id="132" w:name="EB75f48e9561ee41d4955ed4174c5e92e6"/>
      <w:r>
        <w:rPr>
          <w:rFonts w:hint="eastAsia" w:ascii="仿宋" w:hAnsi="仿宋" w:eastAsia="仿宋" w:cs="仿宋"/>
          <w:bCs/>
          <w:color w:val="auto"/>
          <w:sz w:val="24"/>
          <w:szCs w:val="24"/>
          <w:highlight w:val="none"/>
        </w:rPr>
        <w:t xml:space="preserve">竞争性磋商文件所确定的采购范围内的全部内容，包括工程量清单和相应的内容的价格体现，以及为完成上述内容</w:t>
      </w:r>
      <w:r>
        <w:rPr>
          <w:rFonts w:hint="eastAsia" w:ascii="仿宋" w:hAnsi="仿宋" w:eastAsia="仿宋" w:cs="仿宋"/>
          <w:bCs/>
          <w:color w:val="auto"/>
          <w:sz w:val="24"/>
          <w:szCs w:val="24"/>
          <w:highlight w:val="none"/>
          <w:lang w:val="en-US" w:eastAsia="zh-CN"/>
        </w:rPr>
        <w:t xml:space="preserve">过程中所产生</w:t>
      </w:r>
      <w:r>
        <w:rPr>
          <w:rFonts w:hint="eastAsia" w:ascii="仿宋" w:hAnsi="仿宋" w:eastAsia="仿宋" w:cs="仿宋"/>
          <w:bCs/>
          <w:color w:val="auto"/>
          <w:sz w:val="24"/>
          <w:szCs w:val="24"/>
          <w:highlight w:val="none"/>
        </w:rPr>
        <w:t xml:space="preserve">的包装</w:t>
      </w:r>
      <w:r>
        <w:rPr>
          <w:rFonts w:hint="eastAsia" w:ascii="仿宋" w:hAnsi="仿宋" w:eastAsia="仿宋" w:cs="仿宋"/>
          <w:bCs/>
          <w:color w:val="auto"/>
          <w:sz w:val="24"/>
          <w:szCs w:val="24"/>
          <w:highlight w:val="none"/>
          <w:lang w:val="en-US" w:eastAsia="zh-CN"/>
        </w:rPr>
        <w:t xml:space="preserve">费</w:t>
      </w:r>
      <w:r>
        <w:rPr>
          <w:rFonts w:hint="eastAsia" w:ascii="仿宋" w:hAnsi="仿宋" w:eastAsia="仿宋" w:cs="仿宋"/>
          <w:bCs/>
          <w:color w:val="auto"/>
          <w:sz w:val="24"/>
          <w:szCs w:val="24"/>
          <w:highlight w:val="none"/>
        </w:rPr>
        <w:t xml:space="preserve">、运输</w:t>
      </w:r>
      <w:r>
        <w:rPr>
          <w:rFonts w:hint="eastAsia" w:ascii="仿宋" w:hAnsi="仿宋" w:eastAsia="仿宋" w:cs="仿宋"/>
          <w:bCs/>
          <w:color w:val="auto"/>
          <w:sz w:val="24"/>
          <w:szCs w:val="24"/>
          <w:highlight w:val="none"/>
          <w:lang w:val="en-US" w:eastAsia="zh-CN"/>
        </w:rPr>
        <w:t xml:space="preserve">费</w:t>
      </w:r>
      <w:r>
        <w:rPr>
          <w:rFonts w:hint="eastAsia" w:ascii="仿宋" w:hAnsi="仿宋" w:eastAsia="仿宋" w:cs="仿宋"/>
          <w:bCs/>
          <w:color w:val="auto"/>
          <w:sz w:val="24"/>
          <w:szCs w:val="24"/>
          <w:highlight w:val="none"/>
        </w:rPr>
        <w:t xml:space="preserve">、技术措施费、</w:t>
      </w:r>
      <w:r>
        <w:rPr>
          <w:rFonts w:hint="eastAsia" w:ascii="仿宋" w:hAnsi="仿宋" w:eastAsia="仿宋" w:cs="仿宋"/>
          <w:bCs/>
          <w:color w:val="auto"/>
          <w:sz w:val="24"/>
          <w:szCs w:val="24"/>
          <w:highlight w:val="none"/>
          <w:lang w:eastAsia="zh-CN"/>
        </w:rPr>
        <w:t xml:space="preserve">材料</w:t>
      </w:r>
      <w:r>
        <w:rPr>
          <w:rFonts w:hint="eastAsia" w:ascii="仿宋" w:hAnsi="仿宋" w:eastAsia="仿宋" w:cs="仿宋"/>
          <w:bCs/>
          <w:color w:val="auto"/>
          <w:sz w:val="24"/>
          <w:szCs w:val="24"/>
          <w:highlight w:val="none"/>
        </w:rPr>
        <w:t xml:space="preserve">管理</w:t>
      </w:r>
      <w:r>
        <w:rPr>
          <w:rFonts w:hint="eastAsia" w:ascii="仿宋" w:hAnsi="仿宋" w:eastAsia="仿宋" w:cs="仿宋"/>
          <w:bCs/>
          <w:color w:val="auto"/>
          <w:sz w:val="24"/>
          <w:szCs w:val="24"/>
          <w:highlight w:val="none"/>
          <w:lang w:val="en-US" w:eastAsia="zh-CN"/>
        </w:rPr>
        <w:t xml:space="preserve">费</w:t>
      </w:r>
      <w:r>
        <w:rPr>
          <w:rFonts w:hint="eastAsia" w:ascii="仿宋" w:hAnsi="仿宋" w:eastAsia="仿宋" w:cs="仿宋"/>
          <w:bCs/>
          <w:color w:val="auto"/>
          <w:sz w:val="24"/>
          <w:szCs w:val="24"/>
          <w:highlight w:val="none"/>
        </w:rPr>
        <w:t xml:space="preserve">、</w:t>
      </w:r>
      <w:r>
        <w:rPr>
          <w:rFonts w:hint="eastAsia" w:ascii="仿宋" w:hAnsi="仿宋" w:eastAsia="仿宋" w:cs="仿宋"/>
          <w:color w:val="auto"/>
          <w:sz w:val="24"/>
          <w:szCs w:val="24"/>
          <w:highlight w:val="none"/>
          <w:lang w:val="en-US" w:eastAsia="zh-CN" w:bidi="ar-SA"/>
        </w:rPr>
        <w:t xml:space="preserve">试验和检验费用、</w:t>
      </w:r>
      <w:r>
        <w:rPr>
          <w:rFonts w:hint="eastAsia" w:ascii="仿宋" w:hAnsi="仿宋" w:eastAsia="仿宋" w:cs="仿宋"/>
          <w:bCs/>
          <w:color w:val="auto"/>
          <w:sz w:val="24"/>
          <w:szCs w:val="24"/>
          <w:highlight w:val="none"/>
        </w:rPr>
        <w:t xml:space="preserve">利润</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税金及政策性文件规定费用等</w:t>
      </w:r>
      <w:r>
        <w:rPr>
          <w:rFonts w:hint="eastAsia" w:ascii="仿宋" w:hAnsi="仿宋" w:eastAsia="仿宋" w:cs="仿宋"/>
          <w:bCs/>
          <w:color w:val="auto"/>
          <w:sz w:val="24"/>
          <w:szCs w:val="24"/>
          <w:highlight w:val="none"/>
          <w:lang w:val="en-US" w:eastAsia="zh-CN"/>
        </w:rPr>
        <w:t xml:space="preserve">一切</w:t>
      </w:r>
      <w:r>
        <w:rPr>
          <w:rFonts w:hint="eastAsia" w:ascii="仿宋" w:hAnsi="仿宋" w:eastAsia="仿宋" w:cs="仿宋"/>
          <w:bCs/>
          <w:color w:val="auto"/>
          <w:sz w:val="24"/>
          <w:szCs w:val="24"/>
          <w:highlight w:val="none"/>
        </w:rPr>
        <w:t xml:space="preserve">费用。供应商应对施工现场进行详细的踏勘</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了解工程的具体位置，工程施工的具体范围、拆除加固工作是否完成、施工车辆的行进路线、施工便道、运输、储存空间、装卸限制、垃圾清理外运及一切可能影响到正常施工的因素，并将之考虑计入报价中。报价应根据竞争性磋商文件中的工程量清单和有关要求、施工现场实际情况及拟定的施工组织设计，自行了解市场价格或参考工程造价管理部门（协会）发布的人工、材料、机械市场指导价格，并考虑风险因素，进行自主报价。</w:t>
      </w:r>
      <w:bookmarkEnd w:id="132"/>
      <w:r/>
      <w:bookmarkStart w:id="133" w:name="_Hlt26954848"/>
      <w:r/>
      <w:bookmarkEnd w:id="133"/>
      <w:r/>
      <w:bookmarkStart w:id="134" w:name="_Hlt26670486"/>
      <w:r/>
      <w:bookmarkEnd w:id="134"/>
      <w:r/>
      <w:bookmarkStart w:id="135" w:name="_Hlt26954846"/>
      <w:r/>
      <w:bookmarkEnd w:id="135"/>
      <w:r/>
      <w:bookmarkStart w:id="136" w:name="_Hlt26954731"/>
      <w:r/>
      <w:bookmarkEnd w:id="136"/>
      <w:r/>
      <w:bookmarkStart w:id="137" w:name="_Hlt26670482"/>
      <w:r/>
      <w:bookmarkEnd w:id="137"/>
      <w:r/>
      <w:bookmarkEnd w:id="336"/>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3"/>
      </w:pPr>
      <w:r/>
      <w:bookmarkStart w:id="337" w:name="_Toc26"/>
      <w:r>
        <w:rPr>
          <w:rFonts w:hint="eastAsia" w:ascii="仿宋" w:hAnsi="仿宋" w:eastAsia="仿宋" w:cs="仿宋"/>
          <w:color w:val="auto"/>
          <w:sz w:val="24"/>
          <w:szCs w:val="24"/>
          <w:highlight w:val="none"/>
        </w:rPr>
        <w:t xml:space="preserve">13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技术要求响应及偏离表、商务要求响应及偏离表</w:t>
      </w:r>
      <w:bookmarkEnd w:id="337"/>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lang w:val="en-US" w:eastAsia="zh-CN"/>
        </w:rPr>
        <w:outlineLvl w:val="9"/>
      </w:pPr>
      <w:r>
        <w:rPr>
          <w:rFonts w:hint="eastAsia" w:ascii="仿宋" w:hAnsi="仿宋" w:eastAsia="仿宋" w:cs="仿宋"/>
          <w:bCs/>
          <w:color w:val="auto"/>
          <w:sz w:val="24"/>
          <w:szCs w:val="24"/>
          <w:highlight w:val="none"/>
          <w:lang w:val="en-US" w:eastAsia="zh-CN"/>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2"/>
      </w:pPr>
      <w:r/>
      <w:bookmarkStart w:id="338" w:name="_Toc27"/>
      <w:r>
        <w:rPr>
          <w:rFonts w:hint="eastAsia" w:ascii="仿宋" w:hAnsi="仿宋" w:eastAsia="仿宋" w:cs="仿宋"/>
          <w:color w:val="auto"/>
          <w:sz w:val="24"/>
          <w:szCs w:val="24"/>
          <w:highlight w:val="none"/>
        </w:rPr>
        <w:t xml:space="preserve">14</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服务承诺、培训计划、人员安排及其他</w:t>
      </w:r>
      <w:bookmarkEnd w:id="338"/>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2"/>
      </w:pPr>
      <w:r/>
      <w:bookmarkStart w:id="339" w:name="_Toc28"/>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磋商响应函</w:t>
      </w:r>
      <w:bookmarkEnd w:id="339"/>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Cs/>
          <w:color w:val="auto"/>
          <w:sz w:val="24"/>
          <w:szCs w:val="24"/>
          <w:highlight w:val="none"/>
        </w:rPr>
        <w:t xml:space="preserve">15.1</w:t>
      </w:r>
      <w:r>
        <w:rPr>
          <w:rFonts w:hint="eastAsia" w:ascii="仿宋" w:hAnsi="仿宋" w:eastAsia="仿宋" w:cs="仿宋"/>
          <w:color w:val="auto"/>
          <w:sz w:val="24"/>
          <w:szCs w:val="24"/>
          <w:highlight w:val="none"/>
        </w:rPr>
        <w:t xml:space="preserve">供应商应按照磋商文件中提供的格式完整、正确填写磋商响应函。</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2"/>
      </w:pPr>
      <w:r/>
      <w:bookmarkStart w:id="340" w:name="_Toc29"/>
      <w:r>
        <w:rPr>
          <w:rFonts w:hint="eastAsia" w:ascii="仿宋" w:hAnsi="仿宋" w:eastAsia="仿宋" w:cs="仿宋"/>
          <w:color w:val="auto"/>
          <w:sz w:val="24"/>
          <w:szCs w:val="24"/>
          <w:highlight w:val="none"/>
        </w:rPr>
        <w:t xml:space="preserve">16</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磋商有效期</w:t>
      </w:r>
      <w:bookmarkEnd w:id="340"/>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16.1磋商有效期为提交响应文件截止之日后</w:t>
      </w:r>
      <w:r>
        <w:rPr>
          <w:rFonts w:hint="eastAsia" w:ascii="仿宋" w:hAnsi="仿宋" w:eastAsia="仿宋" w:cs="仿宋"/>
          <w:b/>
          <w:color w:val="auto"/>
          <w:sz w:val="24"/>
          <w:szCs w:val="24"/>
          <w:highlight w:val="none"/>
          <w:u w:val="single"/>
        </w:rPr>
        <w:t xml:space="preserve">六十（60）天</w:t>
      </w:r>
      <w:r>
        <w:rPr>
          <w:rFonts w:hint="eastAsia" w:ascii="仿宋" w:hAnsi="仿宋" w:eastAsia="仿宋" w:cs="仿宋"/>
          <w:bCs/>
          <w:color w:val="auto"/>
          <w:sz w:val="24"/>
          <w:szCs w:val="24"/>
          <w:highlight w:val="none"/>
        </w:rPr>
        <w:t xml:space="preserve">。磋商有效期比规定短的将被视为非实质性响应磋商文件而予以拒绝。</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2"/>
      </w:pPr>
      <w:r/>
      <w:bookmarkStart w:id="341" w:name="_Toc30"/>
      <w:r>
        <w:rPr>
          <w:rFonts w:hint="eastAsia" w:ascii="仿宋" w:hAnsi="仿宋" w:eastAsia="仿宋" w:cs="仿宋"/>
          <w:color w:val="auto"/>
          <w:sz w:val="24"/>
          <w:szCs w:val="24"/>
          <w:highlight w:val="none"/>
        </w:rPr>
        <w:t xml:space="preserve">17</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磋商有效期的延长</w:t>
      </w:r>
      <w:bookmarkEnd w:id="341"/>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17.1在特殊情况下，</w:t>
      </w:r>
      <w:r>
        <w:rPr>
          <w:rFonts w:hint="eastAsia" w:ascii="仿宋" w:hAnsi="仿宋" w:eastAsia="仿宋" w:cs="仿宋"/>
          <w:color w:val="auto"/>
          <w:sz w:val="24"/>
          <w:szCs w:val="24"/>
          <w:highlight w:val="none"/>
        </w:rPr>
        <w:t xml:space="preserve">采购代理机构</w:t>
      </w:r>
      <w:r>
        <w:rPr>
          <w:rFonts w:hint="eastAsia" w:ascii="仿宋" w:hAnsi="仿宋" w:eastAsia="仿宋" w:cs="仿宋"/>
          <w:bCs/>
          <w:color w:val="auto"/>
          <w:sz w:val="24"/>
          <w:szCs w:val="24"/>
          <w:highlight w:val="none"/>
        </w:rPr>
        <w:t xml:space="preserve">于原磋商有效期满之前，可向供应商提出延长磋商有效期的要求。这种要求与答复均应采用书面形式。供应商可以拒绝</w:t>
      </w:r>
      <w:r>
        <w:rPr>
          <w:rFonts w:hint="eastAsia" w:ascii="仿宋" w:hAnsi="仿宋" w:eastAsia="仿宋" w:cs="仿宋"/>
          <w:color w:val="auto"/>
          <w:sz w:val="24"/>
          <w:szCs w:val="24"/>
          <w:highlight w:val="none"/>
        </w:rPr>
        <w:t xml:space="preserve">采购代理机构</w:t>
      </w:r>
      <w:r>
        <w:rPr>
          <w:rFonts w:hint="eastAsia" w:ascii="仿宋" w:hAnsi="仿宋" w:eastAsia="仿宋" w:cs="仿宋"/>
          <w:bCs/>
          <w:color w:val="auto"/>
          <w:sz w:val="24"/>
          <w:szCs w:val="24"/>
          <w:highlight w:val="none"/>
        </w:rPr>
        <w:t xml:space="preserve">的这一要求而放弃磋商，同意延长磋商有效期的供应商既不能要求也不允许修改其响应文件。</w:t>
      </w:r>
      <w:r>
        <w:rPr>
          <w:rFonts w:hint="eastAsia" w:ascii="仿宋" w:hAnsi="仿宋" w:eastAsia="仿宋" w:cs="仿宋"/>
          <w:color w:val="auto"/>
          <w:sz w:val="24"/>
          <w:szCs w:val="24"/>
          <w:highlight w:val="none"/>
        </w:rPr>
        <w:t xml:space="preserve">受磋商有效期约束的所有权利与义务均延长至新的有效期</w:t>
      </w:r>
      <w:r>
        <w:rPr>
          <w:rFonts w:hint="eastAsia" w:ascii="仿宋" w:hAnsi="仿宋" w:eastAsia="仿宋" w:cs="仿宋"/>
          <w:bCs/>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17.2</w:t>
      </w:r>
      <w:r>
        <w:rPr>
          <w:rFonts w:hint="eastAsia" w:ascii="仿宋" w:hAnsi="仿宋" w:eastAsia="仿宋" w:cs="仿宋"/>
          <w:color w:val="auto"/>
          <w:sz w:val="24"/>
          <w:szCs w:val="24"/>
          <w:highlight w:val="none"/>
          <w:lang w:eastAsia="zh-CN"/>
        </w:rPr>
        <w:t xml:space="preserve">成交供应商</w:t>
      </w:r>
      <w:r>
        <w:rPr>
          <w:rFonts w:hint="eastAsia" w:ascii="仿宋" w:hAnsi="仿宋" w:eastAsia="仿宋" w:cs="仿宋"/>
          <w:color w:val="auto"/>
          <w:sz w:val="24"/>
          <w:szCs w:val="24"/>
          <w:highlight w:val="none"/>
        </w:rPr>
        <w:t xml:space="preserve">的响应文件作为项目合同的附件，其有效期至</w:t>
      </w:r>
      <w:r>
        <w:rPr>
          <w:rFonts w:hint="eastAsia" w:ascii="仿宋" w:hAnsi="仿宋" w:eastAsia="仿宋" w:cs="仿宋"/>
          <w:color w:val="auto"/>
          <w:sz w:val="24"/>
          <w:szCs w:val="24"/>
          <w:highlight w:val="none"/>
          <w:lang w:eastAsia="zh-CN"/>
        </w:rPr>
        <w:t xml:space="preserve">成交供应商</w:t>
      </w:r>
      <w:r>
        <w:rPr>
          <w:rFonts w:hint="eastAsia" w:ascii="仿宋" w:hAnsi="仿宋" w:eastAsia="仿宋" w:cs="仿宋"/>
          <w:color w:val="auto"/>
          <w:sz w:val="24"/>
          <w:szCs w:val="24"/>
          <w:highlight w:val="none"/>
        </w:rPr>
        <w:t xml:space="preserve">全部合同义务履行完毕为止。</w:t>
      </w:r>
      <w:r/>
    </w:p>
    <w:p>
      <w:pPr>
        <w:ind w:firstLine="562"/>
        <w:keepLines w:val="0"/>
        <w:keepNext w:val="0"/>
        <w:pageBreakBefore w:val="0"/>
        <w:spacing w:line="560" w:lineRule="exact"/>
        <w:widowControl w:val="off"/>
        <w:rPr>
          <w:rFonts w:hint="eastAsia" w:ascii="仿宋" w:hAnsi="仿宋" w:eastAsia="仿宋" w:cs="仿宋"/>
          <w:b/>
          <w:bCs/>
          <w:color w:val="auto"/>
          <w:sz w:val="28"/>
          <w:szCs w:val="28"/>
          <w:highlight w:val="none"/>
        </w:rPr>
        <w:outlineLvl w:val="1"/>
      </w:pPr>
      <w:r/>
      <w:bookmarkStart w:id="342" w:name="_Toc31"/>
      <w:r/>
      <w:bookmarkStart w:id="147" w:name="_Hlt26954739"/>
      <w:r/>
      <w:bookmarkEnd w:id="147"/>
      <w:r/>
      <w:bookmarkStart w:id="148" w:name="_Hlt26954852"/>
      <w:r/>
      <w:bookmarkEnd w:id="148"/>
      <w:r>
        <w:rPr>
          <w:rFonts w:hint="eastAsia" w:ascii="仿宋" w:hAnsi="仿宋" w:eastAsia="仿宋" w:cs="仿宋"/>
          <w:b/>
          <w:bCs/>
          <w:color w:val="auto"/>
          <w:sz w:val="28"/>
          <w:szCs w:val="28"/>
          <w:highlight w:val="none"/>
        </w:rPr>
        <w:t xml:space="preserve">四、响应文件的递交</w:t>
      </w:r>
      <w:bookmarkEnd w:id="342"/>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2"/>
      </w:pPr>
      <w:r/>
      <w:bookmarkStart w:id="343" w:name="_Toc32"/>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电子磋商</w:t>
      </w:r>
      <w:r>
        <w:rPr>
          <w:rFonts w:hint="eastAsia" w:ascii="仿宋" w:hAnsi="仿宋" w:eastAsia="仿宋" w:cs="仿宋"/>
          <w:color w:val="auto"/>
          <w:sz w:val="24"/>
          <w:szCs w:val="24"/>
          <w:highlight w:val="none"/>
        </w:rPr>
        <w:t xml:space="preserve">响应文件的递交</w:t>
      </w:r>
      <w:bookmarkEnd w:id="343"/>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18.1供应商应当按照《操作手册》规定，在提交响应文件截止时间前制作并上传电子响应文件。</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18.2</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通过“苏采云”系统不见面开标大厅在线参与开标活动。（具体操作详见《“苏采云”系统投标人操作手册》，网址链接http://www.ccgp-jiangsu.gov.cn//webfile/jiangsu/202311/1699268553318052447.pdf）</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2"/>
      </w:pPr>
      <w:r/>
      <w:bookmarkStart w:id="344" w:name="_Toc33"/>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Cs/>
          <w:color w:val="auto"/>
          <w:sz w:val="24"/>
          <w:szCs w:val="24"/>
          <w:highlight w:val="none"/>
        </w:rPr>
        <w:t xml:space="preserve">提交响应文件截止时间</w:t>
      </w:r>
      <w:bookmarkEnd w:id="344"/>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19.1供应商上传电子响应文件的时间不得迟于磋商公告中规定的提交响应文件截止时间。</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color w:val="auto"/>
          <w:sz w:val="24"/>
          <w:szCs w:val="24"/>
          <w:highlight w:val="none"/>
        </w:rPr>
        <w:t xml:space="preserve">19.2采购代理机构</w:t>
      </w:r>
      <w:r>
        <w:rPr>
          <w:rFonts w:hint="eastAsia" w:ascii="仿宋" w:hAnsi="仿宋" w:eastAsia="仿宋" w:cs="仿宋"/>
          <w:bCs/>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2"/>
      </w:pPr>
      <w:r/>
      <w:bookmarkStart w:id="345" w:name="_Toc34"/>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响应文件</w:t>
      </w:r>
      <w:r>
        <w:rPr>
          <w:rFonts w:hint="eastAsia" w:ascii="仿宋" w:hAnsi="仿宋" w:eastAsia="仿宋" w:cs="仿宋"/>
          <w:color w:val="auto"/>
          <w:sz w:val="24"/>
          <w:szCs w:val="24"/>
          <w:highlight w:val="none"/>
        </w:rPr>
        <w:t xml:space="preserve">的拒收</w:t>
      </w:r>
      <w:bookmarkEnd w:id="345"/>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20.1</w:t>
      </w:r>
      <w:r>
        <w:rPr>
          <w:rFonts w:hint="eastAsia" w:ascii="仿宋" w:hAnsi="仿宋" w:eastAsia="仿宋" w:cs="仿宋"/>
          <w:color w:val="auto"/>
          <w:sz w:val="24"/>
          <w:szCs w:val="24"/>
          <w:highlight w:val="none"/>
        </w:rPr>
        <w:t xml:space="preserve">采购代理机构</w:t>
      </w:r>
      <w:r>
        <w:rPr>
          <w:rFonts w:hint="eastAsia" w:ascii="仿宋" w:hAnsi="仿宋" w:eastAsia="仿宋" w:cs="仿宋"/>
          <w:bCs/>
          <w:color w:val="auto"/>
          <w:sz w:val="24"/>
          <w:szCs w:val="24"/>
          <w:highlight w:val="none"/>
        </w:rPr>
        <w:t xml:space="preserve">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2"/>
      </w:pPr>
      <w:r/>
      <w:bookmarkStart w:id="346" w:name="_Toc35"/>
      <w:r>
        <w:rPr>
          <w:rFonts w:hint="eastAsia" w:ascii="仿宋" w:hAnsi="仿宋" w:eastAsia="仿宋" w:cs="仿宋"/>
          <w:color w:val="auto"/>
          <w:sz w:val="24"/>
          <w:szCs w:val="24"/>
          <w:highlight w:val="none"/>
        </w:rPr>
        <w:t xml:space="preserve">21</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响应文件的撤回和修改</w:t>
      </w:r>
      <w:bookmarkEnd w:id="346"/>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3"/>
      </w:pPr>
      <w:r/>
      <w:bookmarkStart w:id="347" w:name="_Toc36"/>
      <w:r>
        <w:rPr>
          <w:rFonts w:hint="eastAsia" w:ascii="仿宋" w:hAnsi="仿宋" w:eastAsia="仿宋" w:cs="仿宋"/>
          <w:color w:val="auto"/>
          <w:sz w:val="24"/>
          <w:szCs w:val="24"/>
          <w:highlight w:val="none"/>
        </w:rPr>
        <w:t xml:space="preserve">21.1响应文件的撤回</w:t>
      </w:r>
      <w:bookmarkEnd w:id="347"/>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4"/>
      </w:pPr>
      <w:r/>
      <w:bookmarkStart w:id="348" w:name="_Toc37"/>
      <w:r>
        <w:rPr>
          <w:rFonts w:hint="eastAsia" w:ascii="仿宋" w:hAnsi="仿宋" w:eastAsia="仿宋" w:cs="仿宋"/>
          <w:color w:val="auto"/>
          <w:sz w:val="24"/>
          <w:szCs w:val="24"/>
          <w:highlight w:val="none"/>
        </w:rPr>
        <w:t xml:space="preserve">21.1.1电子响应文件的撤回</w:t>
      </w:r>
      <w:bookmarkEnd w:id="348"/>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供应商可在</w:t>
      </w:r>
      <w:r>
        <w:rPr>
          <w:rFonts w:hint="eastAsia" w:ascii="仿宋" w:hAnsi="仿宋" w:eastAsia="仿宋" w:cs="仿宋"/>
          <w:bCs/>
          <w:color w:val="auto"/>
          <w:sz w:val="24"/>
          <w:szCs w:val="24"/>
          <w:highlight w:val="none"/>
        </w:rPr>
        <w:t xml:space="preserve">提交响应文件</w:t>
      </w:r>
      <w:r>
        <w:rPr>
          <w:rFonts w:hint="eastAsia" w:ascii="仿宋" w:hAnsi="仿宋" w:eastAsia="仿宋" w:cs="仿宋"/>
          <w:color w:val="auto"/>
          <w:sz w:val="24"/>
          <w:szCs w:val="24"/>
          <w:highlight w:val="none"/>
        </w:rPr>
        <w:t xml:space="preserve">截止时间前，撤回其电子响应文件，具体操作方法见《操作手册》。</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21.1.2供应商撤回电子响应文件，则认为其不再参与本项目磋商活动。</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3"/>
      </w:pPr>
      <w:r/>
      <w:bookmarkStart w:id="349" w:name="_Toc38"/>
      <w:r>
        <w:rPr>
          <w:rFonts w:hint="eastAsia" w:ascii="仿宋" w:hAnsi="仿宋" w:eastAsia="仿宋" w:cs="仿宋"/>
          <w:color w:val="auto"/>
          <w:sz w:val="24"/>
          <w:szCs w:val="24"/>
          <w:highlight w:val="none"/>
        </w:rPr>
        <w:t xml:space="preserve">21.2响应文件的修改</w:t>
      </w:r>
      <w:bookmarkEnd w:id="349"/>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21.2.1供应商可在</w:t>
      </w:r>
      <w:r>
        <w:rPr>
          <w:rFonts w:hint="eastAsia" w:ascii="仿宋" w:hAnsi="仿宋" w:eastAsia="仿宋" w:cs="仿宋"/>
          <w:bCs/>
          <w:color w:val="auto"/>
          <w:sz w:val="24"/>
          <w:szCs w:val="24"/>
          <w:highlight w:val="none"/>
        </w:rPr>
        <w:t xml:space="preserve">提交响应文件</w:t>
      </w:r>
      <w:r>
        <w:rPr>
          <w:rFonts w:hint="eastAsia" w:ascii="仿宋" w:hAnsi="仿宋" w:eastAsia="仿宋" w:cs="仿宋"/>
          <w:color w:val="auto"/>
          <w:sz w:val="24"/>
          <w:szCs w:val="24"/>
          <w:highlight w:val="none"/>
        </w:rPr>
        <w:t xml:space="preserve">截止时间前，对其电子响应文件进行修改，具体操作方法见《操作手册》。</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color w:val="auto"/>
          <w:sz w:val="24"/>
          <w:szCs w:val="24"/>
          <w:highlight w:val="none"/>
        </w:rPr>
        <w:t xml:space="preserve">21.2.2</w:t>
      </w:r>
      <w:r>
        <w:rPr>
          <w:rFonts w:hint="eastAsia" w:ascii="仿宋" w:hAnsi="仿宋" w:eastAsia="仿宋" w:cs="仿宋"/>
          <w:bCs/>
          <w:color w:val="auto"/>
          <w:sz w:val="24"/>
          <w:szCs w:val="24"/>
          <w:highlight w:val="none"/>
        </w:rPr>
        <w:t xml:space="preserve">在提交响应文件截止时间之后，供应商不得对其电子响应文件</w:t>
      </w:r>
      <w:r>
        <w:rPr>
          <w:rFonts w:hint="eastAsia" w:ascii="仿宋" w:hAnsi="仿宋" w:eastAsia="仿宋" w:cs="仿宋"/>
          <w:bCs/>
          <w:color w:val="auto"/>
          <w:sz w:val="24"/>
          <w:szCs w:val="24"/>
          <w:highlight w:val="none"/>
          <w:lang w:eastAsia="zh-CN"/>
        </w:rPr>
        <w:t xml:space="preserve">做</w:t>
      </w:r>
      <w:r>
        <w:rPr>
          <w:rFonts w:hint="eastAsia" w:ascii="仿宋" w:hAnsi="仿宋" w:eastAsia="仿宋" w:cs="仿宋"/>
          <w:bCs/>
          <w:color w:val="auto"/>
          <w:sz w:val="24"/>
          <w:szCs w:val="24"/>
          <w:highlight w:val="none"/>
        </w:rPr>
        <w:t xml:space="preserve">任何修改。</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color w:val="auto"/>
          <w:sz w:val="24"/>
          <w:szCs w:val="24"/>
          <w:highlight w:val="none"/>
        </w:rPr>
        <w:t xml:space="preserve">21.3</w:t>
      </w:r>
      <w:r>
        <w:rPr>
          <w:rFonts w:hint="eastAsia" w:ascii="仿宋" w:hAnsi="仿宋" w:eastAsia="仿宋" w:cs="仿宋"/>
          <w:bCs/>
          <w:color w:val="auto"/>
          <w:sz w:val="24"/>
          <w:szCs w:val="24"/>
          <w:highlight w:val="none"/>
        </w:rPr>
        <w:t xml:space="preserve">在提交响应文件截止时间至磋商文件中规定的磋商有效期满之间的这段时间内，供应商不得撤回其响应文件。</w:t>
      </w:r>
      <w:r/>
    </w:p>
    <w:p>
      <w:pPr>
        <w:ind w:firstLine="562"/>
        <w:keepLines w:val="0"/>
        <w:keepNext w:val="0"/>
        <w:pageBreakBefore w:val="0"/>
        <w:spacing w:line="560" w:lineRule="exact"/>
        <w:widowControl w:val="off"/>
        <w:rPr>
          <w:rFonts w:hint="eastAsia" w:ascii="仿宋" w:hAnsi="仿宋" w:eastAsia="仿宋" w:cs="仿宋"/>
          <w:b/>
          <w:bCs/>
          <w:color w:val="auto"/>
          <w:sz w:val="28"/>
          <w:szCs w:val="28"/>
          <w:highlight w:val="none"/>
        </w:rPr>
        <w:outlineLvl w:val="1"/>
      </w:pPr>
      <w:r/>
      <w:bookmarkStart w:id="350" w:name="_Toc39"/>
      <w:r>
        <w:rPr>
          <w:rFonts w:hint="eastAsia" w:ascii="仿宋" w:hAnsi="仿宋" w:eastAsia="仿宋" w:cs="仿宋"/>
          <w:b/>
          <w:bCs/>
          <w:color w:val="auto"/>
          <w:sz w:val="28"/>
          <w:szCs w:val="28"/>
          <w:highlight w:val="none"/>
        </w:rPr>
        <w:t xml:space="preserve">五、响应文件的解密与评审</w:t>
      </w:r>
      <w:bookmarkEnd w:id="350"/>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2"/>
      </w:pPr>
      <w:r/>
      <w:bookmarkStart w:id="351" w:name="_Toc40"/>
      <w:r>
        <w:rPr>
          <w:rFonts w:hint="eastAsia" w:ascii="仿宋" w:hAnsi="仿宋" w:eastAsia="仿宋" w:cs="仿宋"/>
          <w:color w:val="auto"/>
          <w:sz w:val="24"/>
          <w:szCs w:val="24"/>
          <w:highlight w:val="none"/>
        </w:rPr>
        <w:t xml:space="preserve">22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响应文件解密</w:t>
      </w:r>
      <w:bookmarkEnd w:id="351"/>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22.1供应商应当按照《“苏采云”系统供应商操作手册》规定，参加磋商活动和在苏采云系统规定的时间内对磋商响应文件进行解密。</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2"/>
      </w:pPr>
      <w:r/>
      <w:bookmarkStart w:id="352" w:name="_Toc41"/>
      <w:r>
        <w:rPr>
          <w:rFonts w:hint="eastAsia" w:ascii="仿宋" w:hAnsi="仿宋" w:eastAsia="仿宋" w:cs="仿宋"/>
          <w:color w:val="auto"/>
          <w:sz w:val="24"/>
          <w:szCs w:val="24"/>
          <w:highlight w:val="none"/>
        </w:rPr>
        <w:t xml:space="preserve">23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磋商小组</w:t>
      </w:r>
      <w:bookmarkEnd w:id="352"/>
      <w:r/>
      <w:r/>
    </w:p>
    <w:p>
      <w:pPr>
        <w:ind w:firstLine="480"/>
        <w:keepLines w:val="0"/>
        <w:keepNext w:val="0"/>
        <w:pageBreakBefore w:val="0"/>
        <w:spacing w:line="560" w:lineRule="exact"/>
        <w:widowControl w:val="off"/>
        <w:rPr>
          <w:rFonts w:hint="eastAsia" w:ascii="仿宋" w:hAnsi="仿宋" w:eastAsia="仿宋" w:cs="仿宋"/>
          <w:b/>
          <w:color w:val="auto"/>
          <w:sz w:val="24"/>
          <w:szCs w:val="24"/>
          <w:highlight w:val="none"/>
        </w:rPr>
        <w:outlineLvl w:val="9"/>
      </w:pPr>
      <w:r>
        <w:rPr>
          <w:rFonts w:hint="eastAsia" w:ascii="仿宋" w:hAnsi="仿宋" w:eastAsia="仿宋" w:cs="仿宋"/>
          <w:color w:val="auto"/>
          <w:sz w:val="24"/>
          <w:szCs w:val="24"/>
          <w:highlight w:val="none"/>
        </w:rPr>
        <w:t xml:space="preserve">23.1采购代理机构将组织磋商小组对响应文件进行评审。磋商小组由采购人代表和有关技术、经济等方面的专家组成，且人员构成符合政府采购有关规定。</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23.2磋商小组独立工作，负责评审所有响应文件并确定成交</w:t>
      </w:r>
      <w:r>
        <w:rPr>
          <w:rFonts w:hint="eastAsia" w:ascii="仿宋" w:hAnsi="仿宋" w:eastAsia="仿宋" w:cs="仿宋"/>
          <w:color w:val="auto"/>
          <w:sz w:val="24"/>
          <w:szCs w:val="24"/>
          <w:highlight w:val="none"/>
          <w:lang w:eastAsia="zh-CN"/>
        </w:rPr>
        <w:t xml:space="preserve">候选人</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2"/>
      </w:pPr>
      <w:r/>
      <w:bookmarkStart w:id="353" w:name="_Toc42"/>
      <w:r>
        <w:rPr>
          <w:rFonts w:hint="eastAsia" w:ascii="仿宋" w:hAnsi="仿宋" w:eastAsia="仿宋" w:cs="仿宋"/>
          <w:color w:val="auto"/>
          <w:sz w:val="24"/>
          <w:szCs w:val="24"/>
          <w:highlight w:val="none"/>
        </w:rPr>
        <w:t xml:space="preserve">24</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评审过程的保密与公正</w:t>
      </w:r>
      <w:bookmarkEnd w:id="353"/>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color w:val="auto"/>
          <w:sz w:val="24"/>
          <w:szCs w:val="24"/>
          <w:highlight w:val="none"/>
        </w:rPr>
        <w:t xml:space="preserve">24.1</w:t>
      </w:r>
      <w:r>
        <w:rPr>
          <w:rFonts w:hint="eastAsia" w:ascii="仿宋" w:hAnsi="仿宋" w:eastAsia="仿宋" w:cs="仿宋"/>
          <w:bCs/>
          <w:color w:val="auto"/>
          <w:sz w:val="24"/>
          <w:szCs w:val="24"/>
          <w:highlight w:val="none"/>
        </w:rPr>
        <w:t xml:space="preserve">磋商小组、采购人和</w:t>
      </w:r>
      <w:r>
        <w:rPr>
          <w:rFonts w:hint="eastAsia" w:ascii="仿宋" w:hAnsi="仿宋" w:eastAsia="仿宋" w:cs="仿宋"/>
          <w:color w:val="auto"/>
          <w:sz w:val="24"/>
          <w:szCs w:val="24"/>
          <w:highlight w:val="none"/>
        </w:rPr>
        <w:t xml:space="preserve">采购代理机构</w:t>
      </w:r>
      <w:r>
        <w:rPr>
          <w:rFonts w:hint="eastAsia" w:ascii="仿宋" w:hAnsi="仿宋" w:eastAsia="仿宋" w:cs="仿宋"/>
          <w:bCs/>
          <w:color w:val="auto"/>
          <w:sz w:val="24"/>
          <w:szCs w:val="24"/>
          <w:highlight w:val="none"/>
        </w:rPr>
        <w:t xml:space="preserve">工作人员、相关监督人员等与评审工作有关的人员，对评审情况以及在评审过程中获悉的国家秘密、商业秘密负有保密责任。</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24.2在评审过程中，供应商不得以任何行为影响磋商评审过程，否则其响应文件将被作为无效响应文件。</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24.3在项目评审期间，采购代理机构将设专门人员与供应商联系。</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24.4采购代理机构和磋商小组不向未成交的供应商解释未成交原因，也不公布评审过程中的相关细节。</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2"/>
      </w:pPr>
      <w:r/>
      <w:bookmarkStart w:id="354" w:name="_Toc43"/>
      <w:r>
        <w:rPr>
          <w:rFonts w:hint="eastAsia" w:ascii="仿宋" w:hAnsi="仿宋" w:eastAsia="仿宋" w:cs="仿宋"/>
          <w:color w:val="auto"/>
          <w:sz w:val="24"/>
          <w:szCs w:val="24"/>
          <w:highlight w:val="none"/>
        </w:rPr>
        <w:t xml:space="preserve">25</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评审过程</w:t>
      </w:r>
      <w:r>
        <w:rPr>
          <w:rFonts w:hint="eastAsia" w:ascii="仿宋" w:hAnsi="仿宋" w:eastAsia="仿宋" w:cs="仿宋"/>
          <w:color w:val="auto"/>
          <w:sz w:val="24"/>
          <w:szCs w:val="24"/>
          <w:highlight w:val="none"/>
          <w:lang w:eastAsia="zh-CN"/>
        </w:rPr>
        <w:t xml:space="preserve">中的</w:t>
      </w:r>
      <w:r>
        <w:rPr>
          <w:rFonts w:hint="eastAsia" w:ascii="仿宋" w:hAnsi="仿宋" w:eastAsia="仿宋" w:cs="仿宋"/>
          <w:color w:val="auto"/>
          <w:sz w:val="24"/>
          <w:szCs w:val="24"/>
          <w:highlight w:val="none"/>
        </w:rPr>
        <w:t xml:space="preserve">澄清</w:t>
      </w:r>
      <w:bookmarkEnd w:id="354"/>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磋商小组并非对每个供应商都作澄清要求。</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w:t>
      </w:r>
      <w:r>
        <w:rPr>
          <w:rFonts w:hint="eastAsia" w:ascii="仿宋" w:hAnsi="仿宋" w:eastAsia="仿宋" w:cs="仿宋"/>
          <w:color w:val="auto"/>
          <w:sz w:val="24"/>
          <w:szCs w:val="24"/>
          <w:highlight w:val="none"/>
          <w:lang w:eastAsia="zh-CN"/>
        </w:rPr>
        <w:t xml:space="preserve">系统</w:t>
      </w:r>
      <w:r>
        <w:rPr>
          <w:rFonts w:hint="eastAsia" w:ascii="仿宋" w:hAnsi="仿宋" w:eastAsia="仿宋" w:cs="仿宋"/>
          <w:color w:val="auto"/>
          <w:sz w:val="24"/>
          <w:szCs w:val="24"/>
          <w:highlight w:val="none"/>
        </w:rPr>
        <w:t xml:space="preserve">提交“澄清响应函”并加盖CA电子公章。澄清、说明和更正的内容作为响应文件的补充部分，具体操作方式见《操作手册》。</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25.3接到磋商小组澄清、说明和更正要求的供应商如未按规定做出澄清、说明和更正，其风险由供应商自行承担。</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2"/>
      </w:pPr>
      <w:r/>
      <w:bookmarkStart w:id="355" w:name="_Toc44"/>
      <w:r>
        <w:rPr>
          <w:rFonts w:hint="eastAsia" w:ascii="仿宋" w:hAnsi="仿宋" w:eastAsia="仿宋" w:cs="仿宋"/>
          <w:color w:val="auto"/>
          <w:sz w:val="24"/>
          <w:szCs w:val="24"/>
          <w:highlight w:val="none"/>
        </w:rPr>
        <w:t xml:space="preserve">26</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对响应文件的审</w:t>
      </w:r>
      <w:r>
        <w:rPr>
          <w:rFonts w:hint="eastAsia" w:ascii="仿宋" w:hAnsi="仿宋" w:eastAsia="仿宋" w:cs="仿宋"/>
          <w:color w:val="auto"/>
          <w:sz w:val="24"/>
          <w:szCs w:val="24"/>
          <w:highlight w:val="none"/>
        </w:rPr>
        <w:t xml:space="preserve">查</w:t>
      </w:r>
      <w:bookmarkEnd w:id="355"/>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3"/>
      </w:pPr>
      <w:r/>
      <w:bookmarkStart w:id="356" w:name="_Toc45"/>
      <w:r>
        <w:rPr>
          <w:rFonts w:hint="eastAsia" w:ascii="仿宋" w:hAnsi="仿宋" w:eastAsia="仿宋" w:cs="仿宋"/>
          <w:color w:val="auto"/>
          <w:sz w:val="24"/>
          <w:szCs w:val="24"/>
          <w:highlight w:val="none"/>
        </w:rPr>
        <w:t xml:space="preserve">26.1</w:t>
      </w:r>
      <w:r>
        <w:rPr>
          <w:rFonts w:hint="eastAsia" w:ascii="仿宋" w:hAnsi="仿宋" w:eastAsia="仿宋" w:cs="仿宋"/>
          <w:bCs/>
          <w:color w:val="auto"/>
          <w:sz w:val="24"/>
          <w:szCs w:val="24"/>
          <w:highlight w:val="none"/>
        </w:rPr>
        <w:t xml:space="preserve">响应文件审查分为资格审查和符合性审查。</w:t>
      </w:r>
      <w:bookmarkEnd w:id="356"/>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26.1.1资格审查：由磋商小组依据法律法规和磋商文件的规定，对响应文件中的资格证明文件进行审查，以确定供应商是否具备参加磋商的资格。</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磋商小组在进行资格审查的同时，将在“信用中国”网站（www.creditchina.gov.cn）查询供应商的信用记录，以确定供应商是否具备磋商资格</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查询结果留存并归档。</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26.1.3未通过资格审查或符合性审查的供应商，磋商小组将在</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4"/>
          <w:highlight w:val="none"/>
        </w:rPr>
        <w:t xml:space="preserve">中告知未通过资格审查或符合性审查的原因，评审结束后，磋商小组将不再告知未通过资格审查或符合性审查的原因。</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3"/>
      </w:pPr>
      <w:r/>
      <w:bookmarkStart w:id="357" w:name="_Toc46"/>
      <w:r>
        <w:rPr>
          <w:rFonts w:hint="eastAsia" w:ascii="仿宋" w:hAnsi="仿宋" w:eastAsia="仿宋" w:cs="仿宋"/>
          <w:bCs/>
          <w:color w:val="auto"/>
          <w:sz w:val="24"/>
          <w:szCs w:val="24"/>
          <w:highlight w:val="none"/>
        </w:rPr>
        <w:t xml:space="preserve">26.3未实质性响应磋商文件的情形</w:t>
      </w:r>
      <w:bookmarkEnd w:id="357"/>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26.3.1供应商在</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4"/>
          <w:highlight w:val="none"/>
        </w:rPr>
        <w:t xml:space="preserve">规定的时间内未成功解密电子响应文件的。</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4"/>
      </w:pPr>
      <w:r/>
      <w:bookmarkStart w:id="358" w:name="_Toc47"/>
      <w:r>
        <w:rPr>
          <w:rFonts w:hint="eastAsia" w:ascii="仿宋" w:hAnsi="仿宋" w:eastAsia="仿宋" w:cs="仿宋"/>
          <w:bCs/>
          <w:color w:val="auto"/>
          <w:sz w:val="24"/>
          <w:szCs w:val="24"/>
          <w:highlight w:val="none"/>
        </w:rPr>
        <w:t xml:space="preserve">26.3.2供应商未按照磋商文件要求上传电子响应文件的。</w:t>
      </w:r>
      <w:bookmarkEnd w:id="358"/>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26.3.3同一供应商提交两个（含两个）以上不同的响应文件或者最后报价的。</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26.3.4供应商不具备磋商文件中规定资格要求的。</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26.3.5供应商的最后报价超过了采购预算。</w:t>
      </w:r>
      <w:r/>
    </w:p>
    <w:p>
      <w:pPr>
        <w:ind w:firstLine="480"/>
        <w:keepLines w:val="0"/>
        <w:keepNext w:val="0"/>
        <w:pageBreakBefore w:val="0"/>
        <w:spacing w:line="560" w:lineRule="exact"/>
        <w:widowControl w:val="off"/>
        <w:rPr>
          <w:rFonts w:hint="eastAsia" w:ascii="仿宋" w:hAnsi="仿宋" w:eastAsia="仿宋" w:cs="仿宋"/>
          <w:bCs/>
          <w:i w:val="0"/>
          <w:iCs w:val="0"/>
          <w:color w:val="auto"/>
          <w:sz w:val="24"/>
          <w:szCs w:val="24"/>
          <w:highlight w:val="none"/>
        </w:rPr>
        <w:outlineLvl w:val="9"/>
      </w:pPr>
      <w:r>
        <w:rPr>
          <w:rFonts w:hint="eastAsia" w:ascii="仿宋" w:hAnsi="仿宋" w:eastAsia="仿宋" w:cs="仿宋"/>
          <w:bCs/>
          <w:color w:val="auto"/>
          <w:sz w:val="24"/>
          <w:szCs w:val="24"/>
          <w:highlight w:val="none"/>
        </w:rPr>
        <w:t xml:space="preserve">26.3.6不符合磋商文件中规定的实质性要求和</w:t>
      </w:r>
      <w:r>
        <w:rPr>
          <w:rFonts w:hint="eastAsia" w:ascii="仿宋" w:hAnsi="仿宋" w:eastAsia="仿宋" w:cs="仿宋"/>
          <w:bCs/>
          <w:i w:val="0"/>
          <w:iCs w:val="0"/>
          <w:color w:val="auto"/>
          <w:sz w:val="24"/>
          <w:szCs w:val="24"/>
          <w:highlight w:val="none"/>
        </w:rPr>
        <w:t xml:space="preserve">条件的</w:t>
      </w:r>
      <w:r>
        <w:rPr>
          <w:rFonts w:hint="eastAsia" w:ascii="仿宋" w:hAnsi="仿宋" w:eastAsia="仿宋" w:cs="仿宋"/>
          <w:bCs/>
          <w:i w:val="0"/>
          <w:iCs w:val="0"/>
          <w:color w:val="auto"/>
          <w:sz w:val="24"/>
          <w:szCs w:val="24"/>
          <w:highlight w:val="none"/>
          <w:u w:val="none"/>
        </w:rPr>
        <w:t xml:space="preserve">。</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26.3.8响应文件含有采购人不能接受的附加条件的。</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4"/>
      </w:pPr>
      <w:r/>
      <w:bookmarkStart w:id="359" w:name="_Toc48"/>
      <w:r>
        <w:rPr>
          <w:rFonts w:hint="eastAsia" w:ascii="仿宋" w:hAnsi="仿宋" w:eastAsia="仿宋" w:cs="仿宋"/>
          <w:bCs/>
          <w:color w:val="auto"/>
          <w:sz w:val="24"/>
          <w:szCs w:val="24"/>
          <w:highlight w:val="none"/>
        </w:rPr>
        <w:t xml:space="preserve">26.3.</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响应文件未按照磋商文件要求加盖CA电子公章的。</w:t>
      </w:r>
      <w:bookmarkEnd w:id="359"/>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26.3.</w:t>
      </w:r>
      <w:r>
        <w:rPr>
          <w:rFonts w:hint="eastAsia" w:ascii="仿宋" w:hAnsi="仿宋" w:eastAsia="仿宋" w:cs="仿宋"/>
          <w:bCs/>
          <w:color w:val="auto"/>
          <w:sz w:val="24"/>
          <w:szCs w:val="24"/>
          <w:highlight w:val="none"/>
          <w:lang w:val="en-US" w:eastAsia="zh-CN"/>
        </w:rPr>
        <w:t xml:space="preserve">10</w:t>
      </w:r>
      <w:r>
        <w:rPr>
          <w:rFonts w:hint="eastAsia" w:ascii="仿宋" w:hAnsi="仿宋" w:eastAsia="仿宋" w:cs="仿宋"/>
          <w:bCs/>
          <w:color w:val="auto"/>
          <w:sz w:val="24"/>
          <w:szCs w:val="24"/>
          <w:highlight w:val="none"/>
        </w:rPr>
        <w:t xml:space="preserve">响应文件中已标价工程量清单与竞争性磋商文件明确列出的不可竞争费用项目或费率或计算基础不一致的；</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26.3.</w:t>
      </w:r>
      <w:r>
        <w:rPr>
          <w:rFonts w:hint="eastAsia" w:ascii="仿宋" w:hAnsi="仿宋" w:eastAsia="仿宋" w:cs="仿宋"/>
          <w:bCs/>
          <w:color w:val="auto"/>
          <w:sz w:val="24"/>
          <w:szCs w:val="24"/>
          <w:highlight w:val="none"/>
          <w:lang w:val="en-US" w:eastAsia="zh-CN"/>
        </w:rPr>
        <w:t xml:space="preserve">11</w:t>
      </w:r>
      <w:r>
        <w:rPr>
          <w:rFonts w:hint="eastAsia" w:ascii="仿宋" w:hAnsi="仿宋" w:eastAsia="仿宋" w:cs="仿宋"/>
          <w:bCs/>
          <w:color w:val="auto"/>
          <w:sz w:val="24"/>
          <w:szCs w:val="24"/>
          <w:highlight w:val="none"/>
        </w:rPr>
        <w:t xml:space="preserve">响应文件的已标价工程量清单与竞争性磋商文件提供的工程量清单中的项目编码、项目名称、项目特征、计量单位、工程量不一致的；</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26.3.</w:t>
      </w:r>
      <w:r>
        <w:rPr>
          <w:rFonts w:hint="eastAsia" w:ascii="仿宋" w:hAnsi="仿宋" w:eastAsia="仿宋" w:cs="仿宋"/>
          <w:bCs/>
          <w:color w:val="auto"/>
          <w:sz w:val="24"/>
          <w:szCs w:val="24"/>
          <w:highlight w:val="none"/>
          <w:lang w:val="en-US" w:eastAsia="zh-CN"/>
        </w:rPr>
        <w:t xml:space="preserve">12</w:t>
      </w:r>
      <w:r>
        <w:rPr>
          <w:rFonts w:hint="eastAsia" w:ascii="仿宋" w:hAnsi="仿宋" w:eastAsia="仿宋" w:cs="仿宋"/>
          <w:bCs/>
          <w:color w:val="auto"/>
          <w:sz w:val="24"/>
          <w:szCs w:val="24"/>
          <w:highlight w:val="none"/>
        </w:rPr>
        <w:t xml:space="preserve">本项目专门面向中小企业（含监狱企业、残疾人福利企业）采购，非中小企业不得参与本项目磋商。</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3"/>
      </w:pPr>
      <w:r/>
      <w:bookmarkStart w:id="360" w:name="_Toc49"/>
      <w:r>
        <w:rPr>
          <w:rFonts w:hint="eastAsia" w:ascii="仿宋" w:hAnsi="仿宋" w:eastAsia="仿宋" w:cs="仿宋"/>
          <w:bCs/>
          <w:color w:val="auto"/>
          <w:sz w:val="24"/>
          <w:szCs w:val="24"/>
          <w:highlight w:val="none"/>
        </w:rPr>
        <w:t xml:space="preserve">26.4未实质性响应磋商文件的响应文件按无效响应处理。</w:t>
      </w:r>
      <w:bookmarkEnd w:id="360"/>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color w:val="auto"/>
          <w:sz w:val="24"/>
          <w:szCs w:val="24"/>
          <w:highlight w:val="none"/>
        </w:rPr>
        <w:t xml:space="preserve">26.5</w:t>
      </w:r>
      <w:r>
        <w:rPr>
          <w:rFonts w:hint="eastAsia" w:ascii="仿宋" w:hAnsi="仿宋" w:eastAsia="仿宋" w:cs="仿宋"/>
          <w:bCs/>
          <w:color w:val="auto"/>
          <w:sz w:val="24"/>
          <w:szCs w:val="24"/>
          <w:highlight w:val="none"/>
        </w:rPr>
        <w:t xml:space="preserve">如果响应文件实质上没有响应磋商文件的要求，磋商小组将予以拒绝，供应商不得通过修改或撤销不合要求的偏离或保留而使其成为实质性响应的文件。</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26.6供应商在项目评审全过程中应保持通讯畅通，并安排专人与采购代理机构及磋商小组联系。</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2"/>
      </w:pPr>
      <w:r/>
      <w:bookmarkStart w:id="361" w:name="_Toc50"/>
      <w:r>
        <w:rPr>
          <w:rFonts w:hint="eastAsia" w:ascii="仿宋" w:hAnsi="仿宋" w:eastAsia="仿宋" w:cs="仿宋"/>
          <w:color w:val="auto"/>
          <w:sz w:val="24"/>
          <w:szCs w:val="24"/>
          <w:highlight w:val="none"/>
        </w:rPr>
        <w:t xml:space="preserve">27</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磋商程序及评审方法和评审标准</w:t>
      </w:r>
      <w:bookmarkEnd w:id="361"/>
      <w:r/>
      <w:r/>
    </w:p>
    <w:p>
      <w:pPr>
        <w:ind w:firstLine="480"/>
        <w:keepLines w:val="0"/>
        <w:keepNext w:val="0"/>
        <w:pageBreakBefore w:val="0"/>
        <w:spacing w:line="560" w:lineRule="exact"/>
        <w:widowControl w:val="off"/>
        <w:tabs>
          <w:tab w:val="left" w:pos="900" w:leader="none"/>
        </w:tabs>
        <w:rPr>
          <w:rFonts w:hint="eastAsia" w:ascii="仿宋" w:hAnsi="仿宋" w:eastAsia="仿宋" w:cs="仿宋"/>
          <w:color w:val="auto"/>
          <w:sz w:val="24"/>
          <w:szCs w:val="24"/>
          <w:highlight w:val="none"/>
        </w:rPr>
        <w:outlineLvl w:val="3"/>
      </w:pPr>
      <w:r/>
      <w:bookmarkStart w:id="362" w:name="_Toc51"/>
      <w:r>
        <w:rPr>
          <w:rFonts w:hint="eastAsia" w:ascii="仿宋" w:hAnsi="仿宋" w:eastAsia="仿宋" w:cs="仿宋"/>
          <w:color w:val="auto"/>
          <w:sz w:val="24"/>
          <w:szCs w:val="24"/>
          <w:highlight w:val="none"/>
        </w:rPr>
        <w:t xml:space="preserve">27.1磋商程序</w:t>
      </w:r>
      <w:bookmarkEnd w:id="362"/>
      <w:r/>
      <w:r/>
    </w:p>
    <w:p>
      <w:pPr>
        <w:ind w:firstLine="480"/>
        <w:keepLines w:val="0"/>
        <w:keepNext w:val="0"/>
        <w:pageBreakBefore w:val="0"/>
        <w:spacing w:line="560" w:lineRule="exact"/>
        <w:widowControl w:val="off"/>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keepLines w:val="0"/>
        <w:keepNext w:val="0"/>
        <w:pageBreakBefore w:val="0"/>
        <w:spacing w:line="560" w:lineRule="exact"/>
        <w:widowControl w:val="off"/>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keepLines w:val="0"/>
        <w:keepNext w:val="0"/>
        <w:pageBreakBefore w:val="0"/>
        <w:spacing w:line="560" w:lineRule="exact"/>
        <w:widowControl w:val="off"/>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keepLines w:val="0"/>
        <w:keepNext w:val="0"/>
        <w:pageBreakBefore w:val="0"/>
        <w:spacing w:line="560" w:lineRule="exact"/>
        <w:widowControl w:val="off"/>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keepLines w:val="0"/>
        <w:keepNext w:val="0"/>
        <w:pageBreakBefore w:val="0"/>
        <w:spacing w:line="560" w:lineRule="exact"/>
        <w:widowControl w:val="off"/>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最后报价是供应商响应文件的有效组成部分。符合《政府采购竞争性磋商采购方</w:t>
      </w:r>
      <w:r>
        <w:rPr>
          <w:rFonts w:hint="eastAsia" w:ascii="仿宋" w:hAnsi="仿宋" w:eastAsia="仿宋" w:cs="仿宋"/>
          <w:color w:val="auto"/>
          <w:sz w:val="24"/>
          <w:szCs w:val="24"/>
          <w:highlight w:val="none"/>
          <w:lang w:eastAsia="zh-CN"/>
        </w:rPr>
        <w:t xml:space="preserve">式管</w:t>
      </w:r>
      <w:r>
        <w:rPr>
          <w:rFonts w:hint="eastAsia" w:ascii="仿宋" w:hAnsi="仿宋" w:eastAsia="仿宋" w:cs="仿宋"/>
          <w:color w:val="auto"/>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480"/>
        <w:keepLines w:val="0"/>
        <w:keepNext w:val="0"/>
        <w:pageBreakBefore w:val="0"/>
        <w:spacing w:line="560" w:lineRule="exact"/>
        <w:widowControl w:val="off"/>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27.1.3供应商未在磋商小组规定的时间内在苏采云系统中提交最后报价的视为放弃磋商，其响应文件按无效响应处理，最后报价格式表须加盖CA电子公章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否则视为未提交最后报价。已提交响应文件的供应商，在提交最后报价之前，可以根据磋商情况退出磋商，并在苏采云系统中提交“退出磋商函”并加盖CA电子公章。</w:t>
      </w:r>
      <w:r/>
    </w:p>
    <w:p>
      <w:pPr>
        <w:ind w:firstLine="480"/>
        <w:keepLines w:val="0"/>
        <w:keepNext w:val="0"/>
        <w:pageBreakBefore w:val="0"/>
        <w:spacing w:line="560" w:lineRule="exact"/>
        <w:widowControl w:val="off"/>
        <w:tabs>
          <w:tab w:val="left" w:pos="900" w:leader="none"/>
        </w:tabs>
        <w:rPr>
          <w:rFonts w:hint="eastAsia" w:ascii="仿宋" w:hAnsi="仿宋" w:eastAsia="仿宋" w:cs="仿宋"/>
          <w:color w:val="auto"/>
          <w:sz w:val="24"/>
          <w:szCs w:val="24"/>
          <w:highlight w:val="none"/>
        </w:rPr>
        <w:outlineLvl w:val="3"/>
      </w:pPr>
      <w:r/>
      <w:bookmarkStart w:id="363" w:name="_Toc52"/>
      <w:r>
        <w:rPr>
          <w:rFonts w:hint="eastAsia" w:ascii="仿宋" w:hAnsi="仿宋" w:eastAsia="仿宋" w:cs="仿宋"/>
          <w:color w:val="auto"/>
          <w:sz w:val="24"/>
          <w:szCs w:val="24"/>
          <w:highlight w:val="none"/>
        </w:rPr>
        <w:t xml:space="preserve">27.2评审方法和评审标准</w:t>
      </w:r>
      <w:bookmarkEnd w:id="363"/>
      <w:r/>
      <w:r/>
    </w:p>
    <w:p>
      <w:pPr>
        <w:ind w:firstLine="480"/>
        <w:keepLines w:val="0"/>
        <w:keepNext w:val="0"/>
        <w:pageBreakBefore w:val="0"/>
        <w:spacing w:line="560" w:lineRule="exact"/>
        <w:widowControl w:val="off"/>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keepLines w:val="0"/>
        <w:keepNext w:val="0"/>
        <w:pageBreakBefore w:val="0"/>
        <w:spacing w:line="560" w:lineRule="exact"/>
        <w:widowControl w:val="off"/>
        <w:tabs>
          <w:tab w:val="left" w:pos="900" w:leader="none"/>
        </w:tabs>
        <w:rPr>
          <w:rFonts w:hint="eastAsia" w:ascii="仿宋" w:hAnsi="仿宋" w:eastAsia="仿宋" w:cs="仿宋"/>
          <w:color w:val="auto"/>
          <w:sz w:val="24"/>
          <w:szCs w:val="24"/>
          <w:highlight w:val="none"/>
        </w:rPr>
        <w:outlineLvl w:val="4"/>
      </w:pPr>
      <w:r/>
      <w:bookmarkStart w:id="364" w:name="_Toc53"/>
      <w:r>
        <w:rPr>
          <w:rFonts w:hint="eastAsia" w:ascii="仿宋" w:hAnsi="仿宋" w:eastAsia="仿宋" w:cs="仿宋"/>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注：本项目为苏采云系统电子标。因系统原因评标委员会仅可通过苏采云系统向被废标供应商发送被废标的“告知函”，后续将不再向被废标供应商发放纸质版无效标通知书。</w:t>
      </w:r>
      <w:bookmarkEnd w:id="364"/>
      <w:r/>
      <w:r/>
    </w:p>
    <w:p>
      <w:pPr>
        <w:ind w:firstLine="480"/>
        <w:keepLines w:val="0"/>
        <w:keepNext w:val="0"/>
        <w:pageBreakBefore w:val="0"/>
        <w:spacing w:line="560" w:lineRule="exact"/>
        <w:widowControl w:val="off"/>
        <w:tabs>
          <w:tab w:val="left" w:pos="900" w:leader="none"/>
        </w:tabs>
        <w:rPr>
          <w:rFonts w:hint="eastAsia" w:ascii="仿宋" w:hAnsi="仿宋" w:eastAsia="仿宋" w:cs="仿宋"/>
          <w:color w:val="auto"/>
          <w:sz w:val="24"/>
          <w:szCs w:val="24"/>
          <w:highlight w:val="none"/>
        </w:rPr>
        <w:outlineLvl w:val="4"/>
      </w:pPr>
      <w:r/>
      <w:bookmarkStart w:id="365" w:name="_Toc54"/>
      <w:r>
        <w:rPr>
          <w:rFonts w:hint="eastAsia" w:ascii="仿宋" w:hAnsi="仿宋" w:eastAsia="仿宋" w:cs="仿宋"/>
          <w:color w:val="auto"/>
          <w:sz w:val="24"/>
          <w:szCs w:val="24"/>
          <w:highlight w:val="none"/>
        </w:rPr>
        <w:t xml:space="preserve">27.2.2评审标准</w:t>
      </w:r>
      <w:bookmarkEnd w:id="365"/>
      <w:r/>
      <w:r/>
    </w:p>
    <w:p>
      <w:pPr>
        <w:ind w:firstLine="480"/>
        <w:keepLines w:val="0"/>
        <w:keepNext w:val="0"/>
        <w:pageBreakBefore w:val="0"/>
        <w:spacing w:line="560" w:lineRule="exact"/>
        <w:widowControl w:val="off"/>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见本磋商文件第五章规定。</w:t>
      </w:r>
      <w:r/>
    </w:p>
    <w:p>
      <w:pPr>
        <w:ind w:firstLine="480"/>
        <w:keepLines w:val="0"/>
        <w:keepNext w:val="0"/>
        <w:pageBreakBefore w:val="0"/>
        <w:spacing w:line="560" w:lineRule="exact"/>
        <w:widowControl w:val="off"/>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27.3启动异常低价响应审查程序：</w:t>
      </w:r>
      <w:r/>
    </w:p>
    <w:p>
      <w:pPr>
        <w:ind w:firstLine="480"/>
        <w:keepLines w:val="0"/>
        <w:keepNext w:val="0"/>
        <w:pageBreakBefore w:val="0"/>
        <w:spacing w:line="560" w:lineRule="exact"/>
        <w:widowControl w:val="off"/>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27.3.1评审中出现下列情形之一的，评审委员会应当启动异常低价响应审查程序：</w:t>
      </w:r>
      <w:r/>
    </w:p>
    <w:p>
      <w:pPr>
        <w:ind w:firstLine="480"/>
        <w:keepLines w:val="0"/>
        <w:keepNext w:val="0"/>
        <w:pageBreakBefore w:val="0"/>
        <w:spacing w:line="560" w:lineRule="exact"/>
        <w:widowControl w:val="off"/>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1.响应报价低于全部通过符合性审查供应商响应报价平均值50%的，即响应报价&lt;全部通过符合性审查供应商响应报价平均值X50%；</w:t>
      </w:r>
      <w:r/>
    </w:p>
    <w:p>
      <w:pPr>
        <w:ind w:firstLine="480"/>
        <w:keepLines w:val="0"/>
        <w:keepNext w:val="0"/>
        <w:pageBreakBefore w:val="0"/>
        <w:spacing w:line="560" w:lineRule="exact"/>
        <w:widowControl w:val="off"/>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2.响应报价低于通过符合性审查的次低报价供应商响应报价50%的，即响应报价&lt;通过符合性审查的次低报价供应商响应报价X50%；</w:t>
      </w:r>
      <w:r/>
    </w:p>
    <w:p>
      <w:pPr>
        <w:ind w:firstLine="480"/>
        <w:keepLines w:val="0"/>
        <w:keepNext w:val="0"/>
        <w:pageBreakBefore w:val="0"/>
        <w:spacing w:line="560" w:lineRule="exact"/>
        <w:widowControl w:val="off"/>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3.响应报价低于采购项目最高限价45%的，即响应报价&lt;采购项目最高限价X45%；</w:t>
      </w:r>
      <w:r/>
    </w:p>
    <w:p>
      <w:pPr>
        <w:ind w:firstLine="480"/>
        <w:keepLines w:val="0"/>
        <w:keepNext w:val="0"/>
        <w:pageBreakBefore w:val="0"/>
        <w:spacing w:line="560" w:lineRule="exact"/>
        <w:widowControl w:val="off"/>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4.评审委员会基于专业判断，认为供应商报价过低，有可能影响产品质量或者不能诚信履约的其他情形。</w:t>
      </w:r>
      <w:r/>
    </w:p>
    <w:p>
      <w:pPr>
        <w:ind w:firstLine="480"/>
        <w:keepLines w:val="0"/>
        <w:keepNext w:val="0"/>
        <w:pageBreakBefore w:val="0"/>
        <w:spacing w:line="560" w:lineRule="exact"/>
        <w:widowControl w:val="off"/>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27.3.2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keepLines w:val="0"/>
        <w:keepNext w:val="0"/>
        <w:pageBreakBefore w:val="0"/>
        <w:spacing w:line="560" w:lineRule="exact"/>
        <w:widowControl w:val="off"/>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27.3.3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80"/>
        <w:keepLines w:val="0"/>
        <w:keepNext w:val="0"/>
        <w:pageBreakBefore w:val="0"/>
        <w:spacing w:line="560" w:lineRule="exact"/>
        <w:widowControl w:val="off"/>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27.3.4异常低价响应审查的启动原因、审查意见和审查结果应当在评审报告中记录，并随供应商提供的相关书面说明及证明材料，以及评审委员会有关互联网浏览、查询历史一并归档。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560" w:lineRule="exact"/>
        <w:widowControl w:val="off"/>
        <w:tabs>
          <w:tab w:val="left" w:pos="900" w:leader="none"/>
        </w:tabs>
        <w:rPr>
          <w:rFonts w:hint="eastAsia" w:ascii="仿宋" w:hAnsi="仿宋" w:eastAsia="仿宋" w:cs="仿宋"/>
          <w:color w:val="auto"/>
          <w:sz w:val="24"/>
          <w:szCs w:val="24"/>
          <w:highlight w:val="none"/>
        </w:rPr>
        <w:outlineLvl w:val="3"/>
      </w:pPr>
      <w:r/>
      <w:bookmarkStart w:id="366" w:name="_Toc55"/>
      <w:r>
        <w:rPr>
          <w:rFonts w:hint="eastAsia" w:ascii="仿宋" w:hAnsi="仿宋" w:eastAsia="仿宋" w:cs="仿宋"/>
          <w:color w:val="auto"/>
          <w:sz w:val="24"/>
          <w:szCs w:val="24"/>
          <w:highlight w:val="none"/>
        </w:rPr>
        <w:t xml:space="preserve">27.</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采购活动终止的情况</w:t>
      </w:r>
      <w:bookmarkEnd w:id="366"/>
      <w:r/>
      <w:r/>
    </w:p>
    <w:p>
      <w:pPr>
        <w:ind w:firstLine="480"/>
        <w:keepLines w:val="0"/>
        <w:keepNext w:val="0"/>
        <w:pageBreakBefore w:val="0"/>
        <w:spacing w:line="560" w:lineRule="exact"/>
        <w:widowControl w:val="off"/>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出现下列情形之一的，本次竞争性磋商采购活动将被终止：</w:t>
      </w:r>
      <w:r/>
    </w:p>
    <w:p>
      <w:pPr>
        <w:ind w:firstLine="480"/>
        <w:keepLines w:val="0"/>
        <w:keepNext w:val="0"/>
        <w:pageBreakBefore w:val="0"/>
        <w:spacing w:line="560" w:lineRule="exact"/>
        <w:widowControl w:val="off"/>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27.</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.1因情况变化，不再符合规定的竞争性磋商采购方式适用情形的。</w:t>
      </w:r>
      <w:r/>
    </w:p>
    <w:p>
      <w:pPr>
        <w:ind w:firstLine="480"/>
        <w:keepLines w:val="0"/>
        <w:keepNext w:val="0"/>
        <w:pageBreakBefore w:val="0"/>
        <w:spacing w:line="560" w:lineRule="exact"/>
        <w:widowControl w:val="off"/>
        <w:tabs>
          <w:tab w:val="left" w:pos="900" w:leader="none"/>
        </w:tabs>
        <w:rPr>
          <w:rFonts w:hint="eastAsia" w:ascii="仿宋" w:hAnsi="仿宋" w:eastAsia="仿宋" w:cs="仿宋"/>
          <w:color w:val="auto"/>
          <w:sz w:val="24"/>
          <w:szCs w:val="24"/>
          <w:highlight w:val="none"/>
        </w:rPr>
        <w:outlineLvl w:val="4"/>
      </w:pPr>
      <w:r/>
      <w:bookmarkStart w:id="367" w:name="_Toc56"/>
      <w:r>
        <w:rPr>
          <w:rFonts w:hint="eastAsia" w:ascii="仿宋" w:hAnsi="仿宋" w:eastAsia="仿宋" w:cs="仿宋"/>
          <w:color w:val="auto"/>
          <w:sz w:val="24"/>
          <w:szCs w:val="24"/>
          <w:highlight w:val="none"/>
        </w:rPr>
        <w:t xml:space="preserve">27.</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.2出现影响采购公正的违法、违规行为的。</w:t>
      </w:r>
      <w:bookmarkEnd w:id="367"/>
      <w:r/>
      <w:r/>
    </w:p>
    <w:p>
      <w:pPr>
        <w:ind w:firstLine="480"/>
        <w:keepLines w:val="0"/>
        <w:keepNext w:val="0"/>
        <w:pageBreakBefore w:val="0"/>
        <w:spacing w:line="560" w:lineRule="exact"/>
        <w:widowControl w:val="off"/>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27.</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.3除本磋商文件第二章第27.1.2条第三款规定的情形外，在采购过程中符合要求的供应商或者最后报价未超过采购预算的供应商不足3家的。</w:t>
      </w:r>
      <w:r/>
    </w:p>
    <w:p>
      <w:pPr>
        <w:ind w:firstLine="480"/>
        <w:keepLines w:val="0"/>
        <w:keepNext w:val="0"/>
        <w:pageBreakBefore w:val="0"/>
        <w:spacing w:line="560" w:lineRule="exact"/>
        <w:widowControl w:val="off"/>
        <w:tabs>
          <w:tab w:val="left" w:pos="900" w:leader="none"/>
        </w:tabs>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27.</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.4在苏采云系统规定时间内成功解密电子响应文件的供应商不足3家的</w:t>
      </w:r>
      <w:r>
        <w:rPr>
          <w:rFonts w:hint="eastAsia" w:ascii="仿宋" w:hAnsi="仿宋" w:eastAsia="仿宋" w:cs="仿宋"/>
          <w:color w:val="auto"/>
          <w:sz w:val="24"/>
          <w:szCs w:val="24"/>
          <w:highlight w:val="none"/>
          <w:lang w:eastAsia="zh-CN"/>
        </w:rPr>
        <w:t xml:space="preserve">。</w:t>
      </w:r>
      <w:r/>
    </w:p>
    <w:p>
      <w:pPr>
        <w:ind w:firstLine="562"/>
        <w:keepLines w:val="0"/>
        <w:keepNext w:val="0"/>
        <w:pageBreakBefore w:val="0"/>
        <w:spacing w:line="560" w:lineRule="exact"/>
        <w:widowControl w:val="off"/>
        <w:tabs>
          <w:tab w:val="left" w:pos="900" w:leader="none"/>
        </w:tabs>
        <w:rPr>
          <w:rFonts w:hint="eastAsia" w:ascii="仿宋" w:hAnsi="仿宋" w:eastAsia="仿宋" w:cs="仿宋"/>
          <w:b/>
          <w:bCs/>
          <w:color w:val="auto"/>
          <w:sz w:val="28"/>
          <w:szCs w:val="28"/>
          <w:highlight w:val="none"/>
        </w:rPr>
        <w:outlineLvl w:val="1"/>
      </w:pPr>
      <w:r/>
      <w:bookmarkStart w:id="368" w:name="_Toc57"/>
      <w:r>
        <w:rPr>
          <w:rFonts w:hint="eastAsia" w:ascii="仿宋" w:hAnsi="仿宋" w:eastAsia="仿宋" w:cs="仿宋"/>
          <w:b/>
          <w:bCs/>
          <w:color w:val="auto"/>
          <w:sz w:val="28"/>
          <w:szCs w:val="28"/>
          <w:highlight w:val="none"/>
        </w:rPr>
        <w:t xml:space="preserve">六、</w:t>
      </w:r>
      <w:r>
        <w:rPr>
          <w:rFonts w:hint="eastAsia" w:ascii="仿宋" w:hAnsi="仿宋" w:eastAsia="仿宋" w:cs="仿宋"/>
          <w:b/>
          <w:bCs/>
          <w:color w:val="auto"/>
          <w:sz w:val="28"/>
          <w:szCs w:val="28"/>
          <w:highlight w:val="none"/>
        </w:rPr>
        <w:t xml:space="preserve">成交</w:t>
      </w:r>
      <w:bookmarkEnd w:id="368"/>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2"/>
      </w:pPr>
      <w:r/>
      <w:bookmarkStart w:id="369" w:name="_Toc58"/>
      <w:r>
        <w:rPr>
          <w:rFonts w:hint="eastAsia" w:ascii="仿宋" w:hAnsi="仿宋" w:eastAsia="仿宋" w:cs="仿宋"/>
          <w:bCs/>
          <w:color w:val="auto"/>
          <w:sz w:val="24"/>
          <w:szCs w:val="24"/>
          <w:highlight w:val="none"/>
        </w:rPr>
        <w:t xml:space="preserve">28</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Cs/>
          <w:color w:val="auto"/>
          <w:sz w:val="24"/>
          <w:szCs w:val="24"/>
          <w:highlight w:val="none"/>
        </w:rPr>
        <w:t xml:space="preserve">确定</w:t>
      </w:r>
      <w:r>
        <w:rPr>
          <w:rFonts w:hint="eastAsia" w:ascii="仿宋" w:hAnsi="仿宋" w:eastAsia="仿宋" w:cs="仿宋"/>
          <w:bCs/>
          <w:color w:val="auto"/>
          <w:sz w:val="24"/>
          <w:szCs w:val="24"/>
          <w:highlight w:val="none"/>
        </w:rPr>
        <w:t xml:space="preserve">成交单位</w:t>
      </w:r>
      <w:bookmarkEnd w:id="369"/>
      <w:r/>
      <w:r/>
    </w:p>
    <w:p>
      <w:pPr>
        <w:ind w:firstLine="480"/>
        <w:keepLines w:val="0"/>
        <w:keepNext w:val="0"/>
        <w:pageBreakBefore w:val="0"/>
        <w:spacing w:line="560" w:lineRule="exact"/>
        <w:widowControl w:val="off"/>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bCs/>
          <w:color w:val="auto"/>
          <w:sz w:val="24"/>
          <w:szCs w:val="24"/>
          <w:highlight w:val="none"/>
        </w:rPr>
        <w:t xml:space="preserve">28.1</w:t>
      </w:r>
      <w:r>
        <w:rPr>
          <w:rFonts w:hint="eastAsia" w:ascii="仿宋" w:hAnsi="仿宋" w:eastAsia="仿宋" w:cs="仿宋"/>
          <w:color w:val="auto"/>
          <w:sz w:val="24"/>
          <w:szCs w:val="24"/>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keepLines w:val="0"/>
        <w:keepNext w:val="0"/>
        <w:pageBreakBefore w:val="0"/>
        <w:spacing w:line="560" w:lineRule="exact"/>
        <w:widowControl w:val="off"/>
        <w:tabs>
          <w:tab w:val="left" w:pos="900" w:leader="none"/>
        </w:tabs>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28.2采购人从评审报告提出的成交候选供应商中，按照排序由高到低的原则确定成交供应商。</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lang w:val="zh-CN"/>
        </w:rPr>
        <w:outlineLvl w:val="9"/>
      </w:pPr>
      <w:r>
        <w:rPr>
          <w:rFonts w:hint="eastAsia" w:ascii="仿宋" w:hAnsi="仿宋" w:eastAsia="仿宋" w:cs="仿宋"/>
          <w:bCs/>
          <w:color w:val="auto"/>
          <w:sz w:val="24"/>
          <w:szCs w:val="24"/>
          <w:highlight w:val="none"/>
          <w:lang w:val="zh-CN"/>
        </w:rPr>
        <w:t xml:space="preserve">按以下第</w:t>
      </w:r>
      <w:r>
        <w:rPr>
          <w:rFonts w:hint="eastAsia" w:ascii="仿宋" w:hAnsi="仿宋" w:eastAsia="仿宋" w:cs="仿宋"/>
          <w:bCs/>
          <w:color w:val="auto"/>
          <w:sz w:val="24"/>
          <w:szCs w:val="24"/>
          <w:highlight w:val="none"/>
          <w:u w:val="single"/>
          <w:lang w:val="zh-CN"/>
        </w:rPr>
        <w:t xml:space="preserve">（1）</w:t>
      </w:r>
      <w:r>
        <w:rPr>
          <w:rFonts w:hint="eastAsia" w:ascii="仿宋" w:hAnsi="仿宋" w:eastAsia="仿宋" w:cs="仿宋"/>
          <w:bCs/>
          <w:color w:val="auto"/>
          <w:sz w:val="24"/>
          <w:szCs w:val="24"/>
          <w:highlight w:val="none"/>
          <w:lang w:val="zh-CN"/>
        </w:rPr>
        <w:t xml:space="preserve">种方式确定成交供应商</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lang w:val="zh-CN"/>
        </w:rPr>
        <w:outlineLvl w:val="3"/>
      </w:pPr>
      <w:r/>
      <w:bookmarkStart w:id="370" w:name="_Toc59"/>
      <w:r>
        <w:rPr>
          <w:rFonts w:hint="eastAsia" w:ascii="仿宋" w:hAnsi="仿宋" w:eastAsia="仿宋" w:cs="仿宋"/>
          <w:bCs/>
          <w:color w:val="auto"/>
          <w:sz w:val="24"/>
          <w:szCs w:val="24"/>
          <w:highlight w:val="none"/>
          <w:lang w:val="zh-CN"/>
        </w:rPr>
        <w:t xml:space="preserve">（1）磋商小组直接确定排名第一的</w:t>
      </w:r>
      <w:r>
        <w:rPr>
          <w:rFonts w:hint="eastAsia" w:ascii="仿宋" w:hAnsi="仿宋" w:eastAsia="仿宋" w:cs="仿宋"/>
          <w:bCs/>
          <w:color w:val="auto"/>
          <w:sz w:val="24"/>
          <w:szCs w:val="24"/>
          <w:highlight w:val="none"/>
        </w:rPr>
        <w:t xml:space="preserve">成交候选供应商</w:t>
      </w:r>
      <w:r>
        <w:rPr>
          <w:rFonts w:hint="eastAsia" w:ascii="仿宋" w:hAnsi="仿宋" w:eastAsia="仿宋" w:cs="仿宋"/>
          <w:bCs/>
          <w:color w:val="auto"/>
          <w:sz w:val="24"/>
          <w:szCs w:val="24"/>
          <w:highlight w:val="none"/>
          <w:lang w:val="zh-CN"/>
        </w:rPr>
        <w:t xml:space="preserve">为成交供应商；</w:t>
      </w:r>
      <w:bookmarkEnd w:id="370"/>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lang w:val="zh-CN"/>
        </w:rPr>
        <w:outlineLvl w:val="9"/>
      </w:pPr>
      <w:r>
        <w:rPr>
          <w:rFonts w:hint="eastAsia" w:ascii="仿宋" w:hAnsi="仿宋" w:eastAsia="仿宋" w:cs="仿宋"/>
          <w:bCs/>
          <w:color w:val="auto"/>
          <w:sz w:val="24"/>
          <w:szCs w:val="24"/>
          <w:highlight w:val="none"/>
          <w:lang w:val="zh-CN"/>
        </w:rPr>
        <w:t xml:space="preserve">（2）采购人</w:t>
      </w:r>
      <w:r>
        <w:rPr>
          <w:rFonts w:hint="eastAsia" w:ascii="仿宋" w:hAnsi="仿宋" w:eastAsia="仿宋" w:cs="仿宋"/>
          <w:bCs/>
          <w:color w:val="auto"/>
          <w:sz w:val="24"/>
          <w:szCs w:val="24"/>
          <w:highlight w:val="none"/>
        </w:rPr>
        <w:t xml:space="preserve">从评审报告提出</w:t>
      </w:r>
      <w:r>
        <w:rPr>
          <w:rFonts w:hint="eastAsia" w:ascii="仿宋" w:hAnsi="仿宋" w:eastAsia="仿宋" w:cs="仿宋"/>
          <w:bCs/>
          <w:color w:val="auto"/>
          <w:sz w:val="24"/>
          <w:szCs w:val="24"/>
          <w:highlight w:val="none"/>
          <w:lang w:val="zh-CN"/>
        </w:rPr>
        <w:t xml:space="preserve">的</w:t>
      </w:r>
      <w:r>
        <w:rPr>
          <w:rFonts w:hint="eastAsia" w:ascii="仿宋" w:hAnsi="仿宋" w:eastAsia="仿宋" w:cs="仿宋"/>
          <w:bCs/>
          <w:color w:val="auto"/>
          <w:sz w:val="24"/>
          <w:szCs w:val="24"/>
          <w:highlight w:val="none"/>
        </w:rPr>
        <w:t xml:space="preserve">成交候选供应商</w:t>
      </w:r>
      <w:r>
        <w:rPr>
          <w:rFonts w:hint="eastAsia" w:ascii="仿宋" w:hAnsi="仿宋" w:eastAsia="仿宋" w:cs="仿宋"/>
          <w:bCs/>
          <w:color w:val="auto"/>
          <w:sz w:val="24"/>
          <w:szCs w:val="24"/>
          <w:highlight w:val="none"/>
          <w:lang w:val="zh-CN"/>
        </w:rPr>
        <w:t xml:space="preserve">中按顺序确定成交供应商。</w:t>
      </w:r>
      <w:r/>
    </w:p>
    <w:p>
      <w:pPr>
        <w:ind w:firstLine="480"/>
        <w:keepLines w:val="0"/>
        <w:keepNext w:val="0"/>
        <w:pageBreakBefore w:val="0"/>
        <w:spacing w:line="560" w:lineRule="exact"/>
        <w:widowControl w:val="off"/>
        <w:tabs>
          <w:tab w:val="left" w:pos="900" w:leader="none"/>
        </w:tabs>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lang w:val="zh-CN"/>
        </w:rPr>
        <w:t xml:space="preserve">按第</w:t>
      </w: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zh-CN"/>
        </w:rPr>
        <w:t xml:space="preserve">种方式确定成交供应商的，</w:t>
      </w:r>
      <w:r>
        <w:rPr>
          <w:rFonts w:hint="eastAsia" w:ascii="仿宋" w:hAnsi="仿宋" w:eastAsia="仿宋" w:cs="仿宋"/>
          <w:bCs/>
          <w:color w:val="auto"/>
          <w:sz w:val="24"/>
          <w:szCs w:val="24"/>
          <w:highlight w:val="none"/>
        </w:rPr>
        <w:t xml:space="preserve">采购代理机构</w:t>
      </w:r>
      <w:r>
        <w:rPr>
          <w:rFonts w:hint="eastAsia" w:ascii="仿宋" w:hAnsi="仿宋" w:eastAsia="仿宋" w:cs="仿宋"/>
          <w:bCs/>
          <w:color w:val="auto"/>
          <w:sz w:val="24"/>
          <w:szCs w:val="24"/>
          <w:highlight w:val="none"/>
          <w:lang w:val="zh-CN"/>
        </w:rPr>
        <w:t xml:space="preserve">自评审结束之日起两个工作日内将评审报告送交采购人，采购人自收到评审报告之日起五个工作日内在评审报告推荐的</w:t>
      </w:r>
      <w:r>
        <w:rPr>
          <w:rFonts w:hint="eastAsia" w:ascii="仿宋" w:hAnsi="仿宋" w:eastAsia="仿宋" w:cs="仿宋"/>
          <w:bCs/>
          <w:color w:val="auto"/>
          <w:sz w:val="24"/>
          <w:szCs w:val="24"/>
          <w:highlight w:val="none"/>
        </w:rPr>
        <w:t xml:space="preserve">成交候选供应商</w:t>
      </w:r>
      <w:r>
        <w:rPr>
          <w:rFonts w:hint="eastAsia" w:ascii="仿宋" w:hAnsi="仿宋" w:eastAsia="仿宋" w:cs="仿宋"/>
          <w:bCs/>
          <w:color w:val="auto"/>
          <w:sz w:val="24"/>
          <w:szCs w:val="24"/>
          <w:highlight w:val="none"/>
          <w:lang w:val="zh-CN"/>
        </w:rPr>
        <w:t xml:space="preserve">中按顺序确定成交供应商。</w:t>
      </w:r>
      <w:r/>
    </w:p>
    <w:p>
      <w:pPr>
        <w:ind w:firstLine="480"/>
        <w:keepLines w:val="0"/>
        <w:keepNext w:val="0"/>
        <w:pageBreakBefore w:val="0"/>
        <w:spacing w:line="560" w:lineRule="exact"/>
        <w:widowControl w:val="off"/>
        <w:tabs>
          <w:tab w:val="left" w:pos="900" w:leader="none"/>
        </w:tabs>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28.3成交供应商确定后，采购代理机构将在“宿迁市政府采购网”发布成交结果公告，公告期限为1个工作日。</w:t>
      </w:r>
      <w:r/>
    </w:p>
    <w:p>
      <w:pPr>
        <w:ind w:firstLine="480"/>
        <w:keepLines w:val="0"/>
        <w:keepNext w:val="0"/>
        <w:pageBreakBefore w:val="0"/>
        <w:spacing w:line="560" w:lineRule="exact"/>
        <w:widowControl w:val="off"/>
        <w:tabs>
          <w:tab w:val="left" w:pos="900" w:leader="none"/>
        </w:tabs>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28.4若有充分证据证明，成交供应商出现下列情况之一的，一经查实，将被取消成交资格：</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4"/>
      </w:pPr>
      <w:r/>
      <w:bookmarkStart w:id="371" w:name="_Toc60"/>
      <w:r>
        <w:rPr>
          <w:rFonts w:hint="eastAsia" w:ascii="仿宋" w:hAnsi="仿宋" w:eastAsia="仿宋" w:cs="仿宋"/>
          <w:bCs/>
          <w:color w:val="auto"/>
          <w:sz w:val="24"/>
          <w:szCs w:val="24"/>
          <w:highlight w:val="none"/>
        </w:rPr>
        <w:t xml:space="preserve">28.4.1提供虚假材料谋取成交的。</w:t>
      </w:r>
      <w:bookmarkEnd w:id="371"/>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28.4.2与评审专家、采购人、其他供应商或者</w:t>
      </w:r>
      <w:r>
        <w:rPr>
          <w:rFonts w:hint="eastAsia" w:ascii="仿宋" w:hAnsi="仿宋" w:eastAsia="仿宋" w:cs="仿宋"/>
          <w:color w:val="auto"/>
          <w:sz w:val="24"/>
          <w:szCs w:val="24"/>
          <w:highlight w:val="none"/>
        </w:rPr>
        <w:t xml:space="preserve">采购代理机构</w:t>
      </w:r>
      <w:r>
        <w:rPr>
          <w:rFonts w:hint="eastAsia" w:ascii="仿宋" w:hAnsi="仿宋" w:eastAsia="仿宋" w:cs="仿宋"/>
          <w:bCs/>
          <w:color w:val="auto"/>
          <w:sz w:val="24"/>
          <w:szCs w:val="24"/>
          <w:highlight w:val="none"/>
        </w:rPr>
        <w:t xml:space="preserve">工作人员恶意串通的。</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28.4.3向评审专家、采购人或</w:t>
      </w:r>
      <w:r>
        <w:rPr>
          <w:rFonts w:hint="eastAsia" w:ascii="仿宋" w:hAnsi="仿宋" w:eastAsia="仿宋" w:cs="仿宋"/>
          <w:color w:val="auto"/>
          <w:sz w:val="24"/>
          <w:szCs w:val="24"/>
          <w:highlight w:val="none"/>
        </w:rPr>
        <w:t xml:space="preserve">采购代理机构</w:t>
      </w:r>
      <w:r>
        <w:rPr>
          <w:rFonts w:hint="eastAsia" w:ascii="仿宋" w:hAnsi="仿宋" w:eastAsia="仿宋" w:cs="仿宋"/>
          <w:bCs/>
          <w:color w:val="auto"/>
          <w:sz w:val="24"/>
          <w:szCs w:val="24"/>
          <w:highlight w:val="none"/>
        </w:rPr>
        <w:t xml:space="preserve">工作人员行贿或者提供其他不正当利益的。</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28.4.4恶意竞争，最后报价明显低于其自身合理成本且又无法提供证明的。</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28.4.5不满足本磋商文件规定的实质性要求，但在评审过程中又未被磋商小组发现的。</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28.4.6成交后无正当理由拒不与采购人签订政府采购合同或者未按照磋商文件确定的事项签订政府采购合同的。</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4"/>
      </w:pPr>
      <w:r/>
      <w:bookmarkStart w:id="372" w:name="_Toc61"/>
      <w:r>
        <w:rPr>
          <w:rFonts w:hint="eastAsia" w:ascii="仿宋" w:hAnsi="仿宋" w:eastAsia="仿宋" w:cs="仿宋"/>
          <w:bCs/>
          <w:color w:val="auto"/>
          <w:sz w:val="24"/>
          <w:szCs w:val="24"/>
          <w:highlight w:val="none"/>
        </w:rPr>
        <w:t xml:space="preserve">28.4.7将政府采购合同转包的。</w:t>
      </w:r>
      <w:bookmarkEnd w:id="372"/>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2"/>
      </w:pPr>
      <w:r/>
      <w:bookmarkStart w:id="373" w:name="_Toc62"/>
      <w:r>
        <w:rPr>
          <w:rFonts w:hint="eastAsia" w:ascii="仿宋" w:hAnsi="仿宋" w:eastAsia="仿宋" w:cs="仿宋"/>
          <w:bCs/>
          <w:color w:val="auto"/>
          <w:sz w:val="24"/>
          <w:szCs w:val="24"/>
          <w:highlight w:val="none"/>
        </w:rPr>
        <w:t xml:space="preserve">29</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Cs/>
          <w:color w:val="auto"/>
          <w:sz w:val="24"/>
          <w:szCs w:val="24"/>
          <w:highlight w:val="none"/>
        </w:rPr>
        <w:t xml:space="preserve">质疑处理</w:t>
      </w:r>
      <w:bookmarkEnd w:id="373"/>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29.1提出质疑的供应商应当是参与所质疑项目采购活动的供应商。潜在供应商依法获取其可质疑的采购文件的，可以对采购文件提出质疑。</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29.2.1对可以质疑的采购文件提出质疑的，为收到采购文件之日或者采购文件公告期限届满之日。</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3"/>
      </w:pPr>
      <w:r/>
      <w:bookmarkStart w:id="374" w:name="_Toc63"/>
      <w:r>
        <w:rPr>
          <w:rFonts w:hint="eastAsia" w:ascii="仿宋" w:hAnsi="仿宋" w:eastAsia="仿宋" w:cs="仿宋"/>
          <w:color w:val="auto"/>
          <w:sz w:val="24"/>
          <w:szCs w:val="24"/>
          <w:highlight w:val="none"/>
        </w:rPr>
        <w:t xml:space="preserve">29.2.2对采购过程提出质疑的，为各采购程序环节结束之日。</w:t>
      </w:r>
      <w:bookmarkEnd w:id="374"/>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29.2.3对成交结果提出质疑的，为成交结果公告期限届满之日。</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29.3质疑函必须按照本磋商文件中《质疑函范本》要求的格式和内容进行填写。</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29.4</w:t>
      </w:r>
      <w:r>
        <w:rPr>
          <w:rFonts w:hint="eastAsia" w:ascii="仿宋" w:hAnsi="仿宋" w:eastAsia="仿宋" w:cs="仿宋"/>
          <w:color w:val="auto"/>
          <w:sz w:val="24"/>
          <w:szCs w:val="24"/>
          <w:highlight w:val="none"/>
          <w:lang w:val="en-US" w:eastAsia="zh-CN"/>
        </w:rPr>
        <w:t xml:space="preserve">供应商应以书面形式向采购人或者其委托的采购代理机构提出质疑。质疑超出采购机构代理范围的，供应商应当向采购人提出。</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接收质疑函的方式：现场接收或邮寄接收。</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eastAsia="zh-CN"/>
        </w:rPr>
        <w:outlineLvl w:val="9"/>
      </w:pPr>
      <w:r>
        <w:rPr>
          <w:rFonts w:hint="eastAsia" w:ascii="仿宋" w:hAnsi="仿宋" w:eastAsia="仿宋" w:cs="仿宋"/>
          <w:color w:val="auto"/>
          <w:sz w:val="24"/>
          <w:szCs w:val="24"/>
          <w:highlight w:val="none"/>
        </w:rPr>
        <w:t xml:space="preserve">联系部门：</w:t>
      </w:r>
      <w:r>
        <w:rPr>
          <w:rFonts w:hint="eastAsia" w:ascii="仿宋" w:hAnsi="仿宋" w:eastAsia="仿宋" w:cs="仿宋"/>
          <w:color w:val="auto"/>
          <w:sz w:val="24"/>
          <w:szCs w:val="24"/>
          <w:highlight w:val="none"/>
          <w:lang w:eastAsia="zh-CN"/>
        </w:rPr>
        <w:t xml:space="preserve">宿迁幼儿师范高等专科学校</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宿迁恒新工程项目咨询有限公司</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联系电话：</w:t>
      </w:r>
      <w:bookmarkStart w:id="211" w:name="EBac24332b85d642ddb6b4a1fa61c8735b"/>
      <w:r>
        <w:rPr>
          <w:rFonts w:hint="eastAsia" w:ascii="仿宋" w:hAnsi="仿宋" w:eastAsia="仿宋" w:cs="仿宋"/>
          <w:color w:val="auto"/>
          <w:sz w:val="24"/>
          <w:szCs w:val="24"/>
          <w:highlight w:val="none"/>
          <w:lang w:val="en-US" w:eastAsia="zh-CN"/>
        </w:rPr>
        <w:t xml:space="preserve">万开成0527-80985609</w:t>
      </w:r>
      <w:r>
        <w:rPr>
          <w:rFonts w:hint="eastAsia" w:ascii="仿宋" w:hAnsi="仿宋" w:eastAsia="仿宋" w:cs="仿宋"/>
          <w:color w:val="auto"/>
          <w:sz w:val="24"/>
          <w:szCs w:val="24"/>
          <w:highlight w:val="none"/>
        </w:rPr>
        <w:t xml:space="preserve">、</w:t>
      </w:r>
      <w:bookmarkEnd w:id="211"/>
      <w:r>
        <w:rPr>
          <w:rFonts w:hint="eastAsia" w:ascii="仿宋" w:hAnsi="仿宋" w:eastAsia="仿宋" w:cs="仿宋"/>
          <w:color w:val="auto"/>
          <w:sz w:val="24"/>
          <w:szCs w:val="24"/>
          <w:highlight w:val="none"/>
          <w:lang w:val="en-US" w:eastAsia="zh-CN"/>
        </w:rPr>
        <w:t xml:space="preserve">王然18724192862</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eastAsia="zh-CN"/>
        </w:rPr>
        <w:outlineLvl w:val="9"/>
      </w:pPr>
      <w:r>
        <w:rPr>
          <w:rFonts w:hint="eastAsia" w:ascii="仿宋" w:hAnsi="仿宋" w:eastAsia="仿宋" w:cs="仿宋"/>
          <w:color w:val="auto"/>
          <w:sz w:val="24"/>
          <w:szCs w:val="24"/>
          <w:highlight w:val="none"/>
        </w:rPr>
        <w:t xml:space="preserve">通讯地址：</w:t>
      </w:r>
      <w:bookmarkStart w:id="212" w:name="EBbc4de356f0dc436eb73023cf20f4397b"/>
      <w:r>
        <w:rPr>
          <w:rFonts w:hint="eastAsia" w:ascii="仿宋" w:hAnsi="仿宋" w:eastAsia="仿宋" w:cs="仿宋"/>
          <w:color w:val="auto"/>
          <w:sz w:val="24"/>
          <w:szCs w:val="24"/>
          <w:highlight w:val="none"/>
          <w:lang w:eastAsia="zh-CN"/>
        </w:rPr>
        <w:t xml:space="preserve">江苏省宿迁市湖滨新区学成路1号</w:t>
      </w:r>
      <w:r>
        <w:rPr>
          <w:rFonts w:hint="eastAsia" w:ascii="仿宋" w:hAnsi="仿宋" w:eastAsia="仿宋" w:cs="仿宋"/>
          <w:color w:val="auto"/>
          <w:sz w:val="24"/>
          <w:szCs w:val="24"/>
          <w:highlight w:val="none"/>
        </w:rPr>
        <w:t xml:space="preserve">、</w:t>
      </w:r>
      <w:bookmarkEnd w:id="212"/>
      <w:r>
        <w:rPr>
          <w:rFonts w:hint="eastAsia" w:ascii="仿宋" w:hAnsi="仿宋" w:eastAsia="仿宋" w:cs="仿宋"/>
          <w:color w:val="auto"/>
          <w:sz w:val="24"/>
          <w:szCs w:val="24"/>
          <w:highlight w:val="none"/>
          <w:lang w:eastAsia="zh-CN"/>
        </w:rPr>
        <w:t xml:space="preserve">宿迁经济技术开发区城宇商业广场一区D栋103室</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4"/>
      </w:pPr>
      <w:r/>
      <w:bookmarkStart w:id="375" w:name="_Toc64"/>
      <w:r>
        <w:rPr>
          <w:rFonts w:hint="eastAsia" w:ascii="仿宋" w:hAnsi="仿宋" w:eastAsia="仿宋" w:cs="仿宋"/>
          <w:color w:val="auto"/>
          <w:sz w:val="24"/>
          <w:szCs w:val="24"/>
          <w:highlight w:val="none"/>
        </w:rPr>
        <w:t xml:space="preserve">29.5以下情形的质疑不予受理</w:t>
      </w:r>
      <w:bookmarkEnd w:id="375"/>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29.5.1内容不符合《政府采购质疑和投诉办法》第十二条规定的质疑。</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29.5.2超出政府采购法定期限的质疑。</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29.5.3以传真、电子邮件等方式递交的非原件形式的质疑。</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29.5.4未参加磋商活动的供应商或在磋商活动中自身权益未受到损害的供应商所提出的质疑。</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29.7质疑供应商对采购人、采购代理机构的答复不满意，或者采购人、采购代理机构未在规定时间内作出答复的，可以在答复期满后15个工作日内向同级财政部门提起投诉。</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2"/>
      </w:pPr>
      <w:r/>
      <w:bookmarkStart w:id="376" w:name="_Toc65"/>
      <w:r>
        <w:rPr>
          <w:rFonts w:hint="eastAsia" w:ascii="仿宋" w:hAnsi="仿宋" w:eastAsia="仿宋" w:cs="仿宋"/>
          <w:bCs/>
          <w:color w:val="auto"/>
          <w:sz w:val="24"/>
          <w:szCs w:val="24"/>
          <w:highlight w:val="none"/>
        </w:rPr>
        <w:t xml:space="preserve">30</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Cs/>
          <w:color w:val="auto"/>
          <w:sz w:val="24"/>
          <w:szCs w:val="24"/>
          <w:highlight w:val="none"/>
        </w:rPr>
        <w:t xml:space="preserve">成交通知书</w:t>
      </w:r>
      <w:bookmarkEnd w:id="376"/>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562"/>
        <w:keepLines w:val="0"/>
        <w:keepNext w:val="0"/>
        <w:pageBreakBefore w:val="0"/>
        <w:spacing w:line="560" w:lineRule="exact"/>
        <w:widowControl w:val="off"/>
        <w:rPr>
          <w:rFonts w:hint="eastAsia" w:ascii="仿宋" w:hAnsi="仿宋" w:eastAsia="仿宋" w:cs="仿宋"/>
          <w:b/>
          <w:bCs/>
          <w:color w:val="auto"/>
          <w:sz w:val="28"/>
          <w:szCs w:val="28"/>
          <w:highlight w:val="none"/>
        </w:rPr>
        <w:outlineLvl w:val="1"/>
      </w:pPr>
      <w:r/>
      <w:bookmarkStart w:id="377" w:name="_Toc66"/>
      <w:r>
        <w:rPr>
          <w:rFonts w:hint="eastAsia" w:ascii="仿宋" w:hAnsi="仿宋" w:eastAsia="仿宋" w:cs="仿宋"/>
          <w:b/>
          <w:bCs/>
          <w:color w:val="auto"/>
          <w:sz w:val="28"/>
          <w:szCs w:val="28"/>
          <w:highlight w:val="none"/>
        </w:rPr>
        <w:t xml:space="preserve">七、授予合同</w:t>
      </w:r>
      <w:bookmarkEnd w:id="377"/>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2"/>
      </w:pPr>
      <w:r/>
      <w:bookmarkStart w:id="378" w:name="_Toc67"/>
      <w:r>
        <w:rPr>
          <w:rFonts w:hint="eastAsia" w:ascii="仿宋" w:hAnsi="仿宋" w:eastAsia="仿宋" w:cs="仿宋"/>
          <w:bCs/>
          <w:color w:val="auto"/>
          <w:sz w:val="24"/>
          <w:szCs w:val="24"/>
          <w:highlight w:val="none"/>
        </w:rPr>
        <w:t xml:space="preserve">31.签订合同</w:t>
      </w:r>
      <w:bookmarkEnd w:id="378"/>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Cs/>
          <w:color w:val="auto"/>
          <w:sz w:val="24"/>
          <w:szCs w:val="24"/>
          <w:highlight w:val="none"/>
        </w:rPr>
        <w:t xml:space="preserve">31</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成交供应商应当在成交通知书发出之日起15日内，按照磋商文件确定的事项与采购人签订政府采购合同。</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31.2磋商文件、成交供应商的响应文件及磋商过程中有关澄清、承诺文件均应作为合同附件。</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31.3签订合同后，成交供应商不得将合同标的进行转包。未经采购人同意，成交供应商也不得采用分包形式履行合同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否则采购人有权终止合同。转包或分包造成采购人损失的，成交供应商应承担相应赔偿责任。</w:t>
      </w:r>
      <w:r/>
    </w:p>
    <w:p>
      <w:pPr>
        <w:ind w:firstLine="482"/>
        <w:keepLines w:val="0"/>
        <w:keepNext w:val="0"/>
        <w:pageBreakBefore w:val="0"/>
        <w:spacing w:line="560" w:lineRule="exact"/>
        <w:widowControl w:val="off"/>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rPr>
        <w:t xml:space="preserve">31.4本项目的非主体、非关键性工作是否允许分包按以下第</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u w:val="single"/>
          <w:lang w:val="en-US" w:eastAsia="zh-CN"/>
        </w:rPr>
        <w:t xml:space="preserve">2</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种方式确定：</w:t>
      </w:r>
      <w:r/>
    </w:p>
    <w:p>
      <w:pPr>
        <w:ind w:firstLine="482"/>
        <w:keepLines w:val="0"/>
        <w:keepNext w:val="0"/>
        <w:pageBreakBefore w:val="0"/>
        <w:spacing w:line="560" w:lineRule="exact"/>
        <w:widowControl w:val="off"/>
        <w:rPr>
          <w:rFonts w:hint="eastAsia" w:ascii="仿宋" w:hAnsi="仿宋" w:eastAsia="仿宋" w:cs="仿宋"/>
          <w:b/>
          <w:bCs/>
          <w:color w:val="auto"/>
          <w:sz w:val="24"/>
          <w:szCs w:val="24"/>
          <w:highlight w:val="none"/>
          <w:lang w:val="en-US" w:eastAsia="zh-CN"/>
        </w:rPr>
        <w:outlineLvl w:val="9"/>
      </w:pPr>
      <w:r>
        <w:rPr>
          <w:rFonts w:hint="eastAsia" w:ascii="仿宋" w:hAnsi="仿宋" w:eastAsia="仿宋" w:cs="仿宋"/>
          <w:b/>
          <w:bCs/>
          <w:color w:val="auto"/>
          <w:sz w:val="24"/>
          <w:szCs w:val="24"/>
          <w:highlight w:val="none"/>
        </w:rPr>
        <w:t xml:space="preserve">1.允许分包，允许大中型企业向一家或者多家小微企业分包，分包具体内容、金额或比例：</w:t>
      </w:r>
      <w:r>
        <w:rPr>
          <w:rFonts w:hint="eastAsia" w:ascii="仿宋" w:hAnsi="仿宋" w:eastAsia="仿宋" w:cs="仿宋"/>
          <w:b/>
          <w:bCs/>
          <w:color w:val="auto"/>
          <w:sz w:val="24"/>
          <w:szCs w:val="24"/>
          <w:highlight w:val="none"/>
          <w:lang w:val="en-US" w:eastAsia="zh-CN"/>
        </w:rPr>
        <w:t xml:space="preserve">/</w:t>
      </w:r>
      <w:r/>
    </w:p>
    <w:p>
      <w:pPr>
        <w:ind w:firstLine="482"/>
        <w:keepLines w:val="0"/>
        <w:keepNext w:val="0"/>
        <w:pageBreakBefore w:val="0"/>
        <w:spacing w:line="560" w:lineRule="exact"/>
        <w:widowControl w:val="off"/>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rPr>
        <w:t xml:space="preserve">2.不允许分包。未经采购人同意，成交供应商也不得采用分包形式履行合同</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否则采购人有权终止合同。转包或分包造成采购人损失的，成交供应商应承担相应赔偿责任。</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3"/>
      </w:pPr>
      <w:r/>
      <w:bookmarkStart w:id="379" w:name="_Toc68"/>
      <w:r>
        <w:rPr>
          <w:rFonts w:hint="eastAsia" w:ascii="仿宋" w:hAnsi="仿宋" w:eastAsia="仿宋" w:cs="仿宋"/>
          <w:bCs/>
          <w:color w:val="auto"/>
          <w:sz w:val="24"/>
          <w:szCs w:val="24"/>
          <w:highlight w:val="none"/>
        </w:rPr>
        <w:t xml:space="preserve">31.5履约保证金</w:t>
      </w:r>
      <w:bookmarkEnd w:id="379"/>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lang w:val="zh-CN"/>
        </w:rPr>
        <w:outlineLvl w:val="9"/>
      </w:pPr>
      <w:r>
        <w:rPr>
          <w:rFonts w:hint="eastAsia" w:ascii="仿宋" w:hAnsi="仿宋" w:eastAsia="仿宋" w:cs="仿宋"/>
          <w:bCs/>
          <w:color w:val="auto"/>
          <w:sz w:val="24"/>
          <w:szCs w:val="24"/>
          <w:highlight w:val="none"/>
          <w:lang w:val="zh-CN"/>
        </w:rPr>
        <w:t xml:space="preserve">按照以下</w:t>
      </w:r>
      <w:r>
        <w:rPr>
          <w:rFonts w:hint="eastAsia" w:ascii="仿宋" w:hAnsi="仿宋" w:eastAsia="仿宋" w:cs="仿宋"/>
          <w:bCs/>
          <w:color w:val="auto"/>
          <w:sz w:val="24"/>
          <w:szCs w:val="24"/>
          <w:highlight w:val="none"/>
          <w:u w:val="single"/>
          <w:lang w:val="zh-CN"/>
        </w:rPr>
        <w:t xml:space="preserve">第（</w:t>
      </w:r>
      <w:r>
        <w:rPr>
          <w:rFonts w:hint="eastAsia" w:ascii="仿宋" w:hAnsi="仿宋" w:eastAsia="仿宋" w:cs="仿宋"/>
          <w:bCs/>
          <w:color w:val="auto"/>
          <w:sz w:val="24"/>
          <w:szCs w:val="24"/>
          <w:highlight w:val="none"/>
          <w:u w:val="single"/>
          <w:lang w:val="en-US" w:eastAsia="zh-CN"/>
        </w:rPr>
        <w:t xml:space="preserve">1</w:t>
      </w:r>
      <w:r>
        <w:rPr>
          <w:rFonts w:hint="eastAsia" w:ascii="仿宋" w:hAnsi="仿宋" w:eastAsia="仿宋" w:cs="仿宋"/>
          <w:bCs/>
          <w:color w:val="auto"/>
          <w:sz w:val="24"/>
          <w:szCs w:val="24"/>
          <w:highlight w:val="none"/>
          <w:u w:val="single"/>
          <w:lang w:val="zh-CN"/>
        </w:rPr>
        <w:t xml:space="preserve">）方式</w:t>
      </w:r>
      <w:r>
        <w:rPr>
          <w:rFonts w:hint="eastAsia" w:ascii="仿宋" w:hAnsi="仿宋" w:eastAsia="仿宋" w:cs="仿宋"/>
          <w:bCs/>
          <w:color w:val="auto"/>
          <w:sz w:val="24"/>
          <w:szCs w:val="24"/>
          <w:highlight w:val="none"/>
          <w:lang w:val="zh-CN"/>
        </w:rPr>
        <w:t xml:space="preserve">确定履约保证收取方式。</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lang w:val="zh-CN"/>
        </w:rPr>
        <w:outlineLvl w:val="4"/>
      </w:pPr>
      <w:r/>
      <w:bookmarkStart w:id="380" w:name="_Toc69"/>
      <w:r>
        <w:rPr>
          <w:rFonts w:hint="eastAsia" w:ascii="仿宋" w:hAnsi="仿宋" w:eastAsia="仿宋" w:cs="仿宋"/>
          <w:bCs/>
          <w:color w:val="auto"/>
          <w:sz w:val="24"/>
          <w:szCs w:val="24"/>
          <w:highlight w:val="none"/>
          <w:lang w:val="zh-CN"/>
        </w:rPr>
        <w:t xml:space="preserve">（1）不收取履约保证金。</w:t>
      </w:r>
      <w:bookmarkEnd w:id="380"/>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lang w:val="zh-CN"/>
        </w:rPr>
        <w:outlineLvl w:val="9"/>
      </w:pPr>
      <w:r>
        <w:rPr>
          <w:rFonts w:hint="eastAsia" w:ascii="仿宋" w:hAnsi="仿宋" w:eastAsia="仿宋" w:cs="仿宋"/>
          <w:bCs/>
          <w:color w:val="auto"/>
          <w:sz w:val="24"/>
          <w:szCs w:val="24"/>
          <w:highlight w:val="none"/>
          <w:lang w:val="zh-CN"/>
        </w:rPr>
        <w:t xml:space="preserve">（2）履约保证金应在</w:t>
      </w:r>
      <w:r>
        <w:rPr>
          <w:rFonts w:hint="eastAsia" w:ascii="仿宋" w:hAnsi="仿宋" w:eastAsia="仿宋" w:cs="仿宋"/>
          <w:bCs/>
          <w:color w:val="auto"/>
          <w:sz w:val="24"/>
          <w:szCs w:val="24"/>
          <w:highlight w:val="none"/>
          <w:lang w:val="en-US" w:eastAsia="zh-CN"/>
        </w:rPr>
        <w:t xml:space="preserve">施工</w:t>
      </w:r>
      <w:r>
        <w:rPr>
          <w:rFonts w:hint="eastAsia" w:ascii="仿宋" w:hAnsi="仿宋" w:eastAsia="仿宋" w:cs="仿宋"/>
          <w:bCs/>
          <w:color w:val="auto"/>
          <w:sz w:val="24"/>
          <w:szCs w:val="24"/>
          <w:highlight w:val="none"/>
          <w:lang w:val="zh-CN"/>
        </w:rPr>
        <w:t xml:space="preserve">合同签订前提交，履约保证金的金额：按</w:t>
      </w:r>
      <w:r>
        <w:rPr>
          <w:rFonts w:hint="eastAsia" w:ascii="仿宋" w:hAnsi="仿宋" w:eastAsia="仿宋" w:cs="仿宋"/>
          <w:bCs/>
          <w:color w:val="auto"/>
          <w:sz w:val="24"/>
          <w:szCs w:val="24"/>
          <w:highlight w:val="none"/>
          <w:lang w:val="en-US" w:eastAsia="zh-CN"/>
        </w:rPr>
        <w:t xml:space="preserve">施工</w:t>
      </w:r>
      <w:r>
        <w:rPr>
          <w:rFonts w:hint="eastAsia" w:ascii="仿宋" w:hAnsi="仿宋" w:eastAsia="仿宋" w:cs="仿宋"/>
          <w:bCs/>
          <w:color w:val="auto"/>
          <w:sz w:val="24"/>
          <w:szCs w:val="24"/>
          <w:highlight w:val="none"/>
          <w:lang w:val="zh-CN"/>
        </w:rPr>
        <w:t xml:space="preserve">合同总价的</w:t>
      </w:r>
      <w:r>
        <w:rPr>
          <w:rFonts w:hint="eastAsia" w:ascii="仿宋" w:hAnsi="仿宋" w:eastAsia="仿宋" w:cs="仿宋"/>
          <w:bCs/>
          <w:color w:val="auto"/>
          <w:sz w:val="24"/>
          <w:szCs w:val="24"/>
          <w:highlight w:val="none"/>
          <w:u w:val="single"/>
          <w:lang w:val="en-US" w:eastAsia="zh-CN"/>
        </w:rPr>
        <w:t xml:space="preserve"> / </w:t>
      </w:r>
      <w:r>
        <w:rPr>
          <w:rFonts w:hint="eastAsia" w:ascii="仿宋" w:hAnsi="仿宋" w:eastAsia="仿宋" w:cs="仿宋"/>
          <w:bCs/>
          <w:color w:val="auto"/>
          <w:sz w:val="24"/>
          <w:szCs w:val="24"/>
          <w:highlight w:val="none"/>
          <w:lang w:val="zh-CN"/>
        </w:rPr>
        <w:t xml:space="preserve">%计取。除银行电汇、网上银行、数字人民币外，供应商还可选用银行保函、担保公司的保证担保或保险公司的保证保险等多种形式向采购人缴纳；</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lang w:val="zh-CN"/>
        </w:rPr>
        <w:outlineLvl w:val="9"/>
      </w:pPr>
      <w:r>
        <w:rPr>
          <w:rFonts w:hint="eastAsia" w:ascii="仿宋" w:hAnsi="仿宋" w:eastAsia="仿宋" w:cs="仿宋"/>
          <w:bCs/>
          <w:color w:val="auto"/>
          <w:sz w:val="24"/>
          <w:szCs w:val="24"/>
          <w:highlight w:val="none"/>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lang w:val="zh-CN"/>
        </w:rPr>
        <w:outlineLvl w:val="9"/>
      </w:pPr>
      <w:r>
        <w:rPr>
          <w:rFonts w:hint="eastAsia" w:ascii="仿宋" w:hAnsi="仿宋" w:eastAsia="仿宋" w:cs="仿宋"/>
          <w:bCs/>
          <w:color w:val="auto"/>
          <w:sz w:val="24"/>
          <w:szCs w:val="24"/>
          <w:highlight w:val="none"/>
          <w:lang w:val="zh-CN"/>
        </w:rPr>
        <w:t xml:space="preserve">履约保证金退还的条件：按以下</w:t>
      </w:r>
      <w:r>
        <w:rPr>
          <w:rFonts w:hint="eastAsia" w:ascii="仿宋" w:hAnsi="仿宋" w:eastAsia="仿宋" w:cs="仿宋"/>
          <w:bCs/>
          <w:color w:val="auto"/>
          <w:sz w:val="24"/>
          <w:szCs w:val="24"/>
          <w:highlight w:val="none"/>
          <w:u w:val="single"/>
          <w:lang w:val="zh-CN"/>
        </w:rPr>
        <w:t xml:space="preserve">第 </w:t>
      </w:r>
      <w:r>
        <w:rPr>
          <w:rFonts w:hint="eastAsia" w:ascii="仿宋" w:hAnsi="仿宋" w:eastAsia="仿宋" w:cs="仿宋"/>
          <w:bCs/>
          <w:color w:val="auto"/>
          <w:sz w:val="24"/>
          <w:szCs w:val="24"/>
          <w:highlight w:val="none"/>
          <w:u w:val="single"/>
          <w:lang w:val="en-US" w:eastAsia="zh-CN"/>
        </w:rPr>
        <w:t xml:space="preserve">/</w:t>
      </w:r>
      <w:r>
        <w:rPr>
          <w:rFonts w:hint="eastAsia" w:ascii="仿宋" w:hAnsi="仿宋" w:eastAsia="仿宋" w:cs="仿宋"/>
          <w:bCs/>
          <w:color w:val="auto"/>
          <w:sz w:val="24"/>
          <w:szCs w:val="24"/>
          <w:highlight w:val="none"/>
          <w:u w:val="single"/>
          <w:lang w:val="zh-CN"/>
        </w:rPr>
        <w:t xml:space="preserve"> 种</w:t>
      </w:r>
      <w:r>
        <w:rPr>
          <w:rFonts w:hint="eastAsia" w:ascii="仿宋" w:hAnsi="仿宋" w:eastAsia="仿宋" w:cs="仿宋"/>
          <w:bCs/>
          <w:color w:val="auto"/>
          <w:sz w:val="24"/>
          <w:szCs w:val="24"/>
          <w:highlight w:val="none"/>
          <w:lang w:val="zh-CN"/>
        </w:rPr>
        <w:t xml:space="preserve">方式实行：</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lang w:val="zh-CN"/>
        </w:rPr>
        <w:outlineLvl w:val="9"/>
      </w:pPr>
      <w:r>
        <w:rPr>
          <w:rFonts w:hint="eastAsia" w:ascii="仿宋" w:hAnsi="仿宋" w:eastAsia="仿宋" w:cs="仿宋"/>
          <w:bCs/>
          <w:color w:val="auto"/>
          <w:sz w:val="24"/>
          <w:szCs w:val="24"/>
          <w:highlight w:val="none"/>
          <w:lang w:val="zh-CN"/>
        </w:rPr>
        <w:t xml:space="preserve">a.货物类项目，项目验收合格，出具验收报告及履约保证金收据申请退付；</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lang w:val="zh-CN"/>
        </w:rPr>
        <w:outlineLvl w:val="9"/>
      </w:pPr>
      <w:r>
        <w:rPr>
          <w:rFonts w:hint="eastAsia" w:ascii="仿宋" w:hAnsi="仿宋" w:eastAsia="仿宋" w:cs="仿宋"/>
          <w:bCs/>
          <w:color w:val="auto"/>
          <w:sz w:val="24"/>
          <w:szCs w:val="24"/>
          <w:highlight w:val="none"/>
          <w:lang w:val="zh-CN"/>
        </w:rPr>
        <w:t xml:space="preserve">b.服务类项目，项目履约期满评价合格，出具履约评价报告及履约保证金收据申请退付；</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lang w:val="zh-CN"/>
        </w:rPr>
        <w:outlineLvl w:val="9"/>
      </w:pPr>
      <w:r>
        <w:rPr>
          <w:rFonts w:hint="eastAsia" w:ascii="仿宋" w:hAnsi="仿宋" w:eastAsia="仿宋" w:cs="仿宋"/>
          <w:bCs/>
          <w:color w:val="auto"/>
          <w:sz w:val="24"/>
          <w:szCs w:val="24"/>
          <w:highlight w:val="none"/>
          <w:lang w:val="zh-CN"/>
        </w:rPr>
        <w:t xml:space="preserve">c.工程类项目，项目完工验收合格，出具完工证明及履约保证金收据申请退付；</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lang w:val="zh-CN"/>
        </w:rPr>
        <w:outlineLvl w:val="9"/>
      </w:pPr>
      <w:r>
        <w:rPr>
          <w:rFonts w:hint="eastAsia" w:ascii="仿宋" w:hAnsi="仿宋" w:eastAsia="仿宋" w:cs="仿宋"/>
          <w:bCs/>
          <w:color w:val="auto"/>
          <w:sz w:val="24"/>
          <w:szCs w:val="24"/>
          <w:highlight w:val="none"/>
          <w:lang w:val="zh-CN"/>
        </w:rPr>
        <w:t xml:space="preserve">履约保证金退还时间：采购单位收到供应商退付申请后5个工作日内退还；</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lang w:val="zh-CN"/>
        </w:rPr>
        <w:outlineLvl w:val="9"/>
      </w:pPr>
      <w:r>
        <w:rPr>
          <w:rFonts w:hint="eastAsia" w:ascii="仿宋" w:hAnsi="仿宋" w:eastAsia="仿宋" w:cs="仿宋"/>
          <w:bCs/>
          <w:color w:val="auto"/>
          <w:sz w:val="24"/>
          <w:szCs w:val="24"/>
          <w:highlight w:val="none"/>
          <w:lang w:val="zh-CN"/>
        </w:rPr>
        <w:t xml:space="preserve">履约保证金不予退还情形：除不可抗力外，供应商不履行与采购人订立的</w:t>
      </w:r>
      <w:r>
        <w:rPr>
          <w:rFonts w:hint="eastAsia" w:ascii="仿宋" w:hAnsi="仿宋" w:eastAsia="仿宋" w:cs="仿宋"/>
          <w:bCs/>
          <w:color w:val="auto"/>
          <w:sz w:val="24"/>
          <w:szCs w:val="24"/>
          <w:highlight w:val="none"/>
          <w:lang w:val="en-US" w:eastAsia="zh-CN"/>
        </w:rPr>
        <w:t xml:space="preserve">施工</w:t>
      </w:r>
      <w:r>
        <w:rPr>
          <w:rFonts w:hint="eastAsia" w:ascii="仿宋" w:hAnsi="仿宋" w:eastAsia="仿宋" w:cs="仿宋"/>
          <w:bCs/>
          <w:color w:val="auto"/>
          <w:sz w:val="24"/>
          <w:szCs w:val="24"/>
          <w:highlight w:val="none"/>
          <w:lang w:val="zh-CN"/>
        </w:rPr>
        <w:t xml:space="preserve">合同的，履约保证金不予退还，给采购人造成的损失超过履约保证金数额的，还应当对超过部分予以赔偿；</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lang w:val="zh-CN"/>
        </w:rPr>
        <w:outlineLvl w:val="9"/>
      </w:pPr>
      <w:r>
        <w:rPr>
          <w:rFonts w:hint="eastAsia" w:ascii="仿宋" w:hAnsi="仿宋" w:eastAsia="仿宋" w:cs="仿宋"/>
          <w:bCs/>
          <w:color w:val="auto"/>
          <w:sz w:val="24"/>
          <w:szCs w:val="24"/>
          <w:highlight w:val="none"/>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lang w:val="zh-CN"/>
        </w:rPr>
        <w:outlineLvl w:val="9"/>
      </w:pPr>
      <w:r>
        <w:rPr>
          <w:rFonts w:hint="eastAsia" w:ascii="仿宋" w:hAnsi="仿宋" w:eastAsia="仿宋" w:cs="仿宋"/>
          <w:bCs/>
          <w:color w:val="auto"/>
          <w:sz w:val="24"/>
          <w:szCs w:val="24"/>
          <w:highlight w:val="none"/>
          <w:lang w:val="zh-CN"/>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2"/>
      </w:pPr>
      <w:r/>
      <w:bookmarkStart w:id="381" w:name="_Toc70"/>
      <w:r>
        <w:rPr>
          <w:rFonts w:hint="eastAsia" w:ascii="仿宋" w:hAnsi="仿宋" w:eastAsia="仿宋" w:cs="仿宋"/>
          <w:bCs/>
          <w:color w:val="auto"/>
          <w:sz w:val="24"/>
          <w:szCs w:val="24"/>
          <w:highlight w:val="none"/>
        </w:rPr>
        <w:t xml:space="preserve">32</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Cs/>
          <w:color w:val="auto"/>
          <w:sz w:val="24"/>
          <w:szCs w:val="24"/>
          <w:highlight w:val="none"/>
        </w:rPr>
        <w:t xml:space="preserve">标的物的追加</w:t>
      </w:r>
      <w:bookmarkEnd w:id="381"/>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32.1政府采购合同履行中，采购人需追加与合同标的相同的工程、货物、服务（包含与货物相关的服务、工程及与服务相关的货物、工程、与工程相关的货物、服务）的，在不改变合同其他条款的前提下，可以与成交供应商协商签订补充合同，但所有补充合同的采购金额不超过原合同金</w:t>
      </w:r>
      <w:r>
        <w:rPr>
          <w:rFonts w:hint="eastAsia" w:ascii="仿宋" w:hAnsi="仿宋" w:eastAsia="仿宋" w:cs="仿宋"/>
          <w:color w:val="auto"/>
          <w:sz w:val="24"/>
          <w:szCs w:val="24"/>
          <w:highlight w:val="none"/>
          <w:lang w:eastAsia="zh-CN"/>
        </w:rPr>
        <w:t xml:space="preserve">额的</w:t>
      </w:r>
      <w:r>
        <w:rPr>
          <w:rFonts w:hint="eastAsia" w:ascii="仿宋" w:hAnsi="仿宋" w:eastAsia="仿宋" w:cs="仿宋"/>
          <w:color w:val="auto"/>
          <w:sz w:val="24"/>
          <w:szCs w:val="24"/>
          <w:highlight w:val="none"/>
        </w:rPr>
        <w:t xml:space="preserve">10%。</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2"/>
      </w:pPr>
      <w:r/>
      <w:bookmarkStart w:id="382" w:name="_Toc71"/>
      <w:r>
        <w:rPr>
          <w:rFonts w:hint="eastAsia" w:ascii="仿宋" w:hAnsi="仿宋" w:eastAsia="仿宋" w:cs="仿宋"/>
          <w:bCs/>
          <w:color w:val="auto"/>
          <w:sz w:val="24"/>
          <w:szCs w:val="24"/>
          <w:highlight w:val="none"/>
        </w:rPr>
        <w:t xml:space="preserve">33</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Cs/>
          <w:color w:val="auto"/>
          <w:sz w:val="24"/>
          <w:szCs w:val="24"/>
          <w:highlight w:val="none"/>
        </w:rPr>
        <w:t xml:space="preserve">政府采购履约资金扶持政策</w:t>
      </w:r>
      <w:bookmarkEnd w:id="382"/>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Cs/>
          <w:color w:val="auto"/>
          <w:sz w:val="24"/>
          <w:szCs w:val="24"/>
          <w:highlight w:val="none"/>
        </w:rPr>
        <w:t xml:space="preserve">33.1依</w:t>
      </w:r>
      <w:r>
        <w:rPr>
          <w:rFonts w:hint="eastAsia" w:ascii="仿宋" w:hAnsi="仿宋" w:eastAsia="仿宋" w:cs="仿宋"/>
          <w:bCs/>
          <w:color w:val="auto"/>
          <w:sz w:val="24"/>
          <w:szCs w:val="24"/>
          <w:highlight w:val="none"/>
          <w:lang w:val="zh-CN"/>
        </w:rPr>
        <w:t xml:space="preserve">据《关于转发江苏省财政厅、中国人民银行南京分行〈关于深入推进政府采购线上合同信用融资工作的通知〉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pStyle w:val="874"/>
        <w:ind w:firstLine="562"/>
        <w:keepLines w:val="0"/>
        <w:keepNext w:val="0"/>
        <w:pageBreakBefore w:val="0"/>
        <w:spacing w:before="0" w:after="0" w:line="560" w:lineRule="exact"/>
        <w:widowControl w:val="off"/>
        <w:rPr>
          <w:rFonts w:hint="eastAsia" w:ascii="仿宋" w:hAnsi="仿宋" w:eastAsia="仿宋" w:cs="仿宋"/>
          <w:color w:val="auto"/>
          <w:sz w:val="28"/>
          <w:szCs w:val="28"/>
          <w:highlight w:val="none"/>
        </w:rPr>
        <w:outlineLvl w:val="2"/>
      </w:pPr>
      <w:r/>
      <w:bookmarkStart w:id="383" w:name="_Toc72"/>
      <w:r>
        <w:rPr>
          <w:rFonts w:hint="eastAsia" w:ascii="仿宋" w:hAnsi="仿宋" w:eastAsia="仿宋" w:cs="仿宋"/>
          <w:color w:val="auto"/>
          <w:sz w:val="28"/>
          <w:szCs w:val="28"/>
          <w:highlight w:val="none"/>
        </w:rPr>
        <w:t xml:space="preserve">34</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验收及付款</w:t>
      </w:r>
      <w:bookmarkEnd w:id="383"/>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34.2采购人可以邀请参加本项目的其他供应商或者第三方机构参与验收。参与验收的供应商或者第三方机构的意见作为验收书的参考资料一并存档。</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Cs/>
          <w:color w:val="auto"/>
          <w:sz w:val="24"/>
          <w:szCs w:val="24"/>
          <w:highlight w:val="none"/>
        </w:rPr>
        <w:t xml:space="preserve">34.4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562"/>
        <w:keepLines w:val="0"/>
        <w:keepNext w:val="0"/>
        <w:pageBreakBefore w:val="0"/>
        <w:spacing w:line="560" w:lineRule="exact"/>
        <w:widowControl w:val="off"/>
        <w:rPr>
          <w:rFonts w:hint="eastAsia" w:ascii="仿宋" w:hAnsi="仿宋" w:eastAsia="仿宋" w:cs="仿宋"/>
          <w:b/>
          <w:color w:val="auto"/>
          <w:sz w:val="28"/>
          <w:szCs w:val="28"/>
          <w:highlight w:val="none"/>
        </w:rPr>
        <w:outlineLvl w:val="2"/>
      </w:pPr>
      <w:r/>
      <w:bookmarkStart w:id="384" w:name="_Toc73"/>
      <w:r>
        <w:rPr>
          <w:rFonts w:hint="eastAsia" w:ascii="仿宋" w:hAnsi="仿宋" w:eastAsia="仿宋" w:cs="仿宋"/>
          <w:b/>
          <w:color w:val="auto"/>
          <w:sz w:val="28"/>
          <w:szCs w:val="28"/>
          <w:highlight w:val="none"/>
        </w:rPr>
        <w:t xml:space="preserve">35</w:t>
      </w:r>
      <w:r>
        <w:rPr>
          <w:rFonts w:hint="eastAsia" w:ascii="仿宋" w:hAnsi="仿宋" w:eastAsia="仿宋" w:cs="仿宋"/>
          <w:b/>
          <w:color w:val="auto"/>
          <w:sz w:val="28"/>
          <w:szCs w:val="28"/>
          <w:highlight w:val="none"/>
          <w:lang w:val="en-US" w:eastAsia="zh-CN"/>
        </w:rPr>
        <w:t xml:space="preserve">.</w:t>
      </w:r>
      <w:r>
        <w:rPr>
          <w:rFonts w:hint="eastAsia" w:ascii="仿宋" w:hAnsi="仿宋" w:eastAsia="仿宋" w:cs="仿宋"/>
          <w:b/>
          <w:color w:val="auto"/>
          <w:sz w:val="28"/>
          <w:szCs w:val="28"/>
          <w:highlight w:val="none"/>
        </w:rPr>
        <w:t xml:space="preserve">付款</w:t>
      </w:r>
      <w:bookmarkEnd w:id="384"/>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bookmarkStart w:id="233" w:name="EBec7f529f50594afd871ea9378869e456"/>
      <w:r>
        <w:rPr>
          <w:rFonts w:hint="eastAsia" w:ascii="仿宋" w:hAnsi="仿宋" w:eastAsia="仿宋" w:cs="仿宋"/>
          <w:bCs/>
          <w:color w:val="auto"/>
          <w:sz w:val="24"/>
          <w:szCs w:val="24"/>
          <w:highlight w:val="none"/>
        </w:rPr>
        <w:t xml:space="preserve">按照以下</w:t>
      </w:r>
      <w:r>
        <w:rPr>
          <w:rFonts w:hint="eastAsia" w:ascii="仿宋" w:hAnsi="仿宋" w:eastAsia="仿宋" w:cs="仿宋"/>
          <w:bCs/>
          <w:color w:val="auto"/>
          <w:sz w:val="24"/>
          <w:szCs w:val="24"/>
          <w:highlight w:val="none"/>
          <w:u w:val="single"/>
        </w:rPr>
        <w:t xml:space="preserve">（3）</w:t>
      </w:r>
      <w:r>
        <w:rPr>
          <w:rFonts w:hint="eastAsia" w:ascii="仿宋" w:hAnsi="仿宋" w:eastAsia="仿宋" w:cs="仿宋"/>
          <w:bCs/>
          <w:color w:val="auto"/>
          <w:sz w:val="24"/>
          <w:szCs w:val="24"/>
          <w:highlight w:val="none"/>
        </w:rPr>
        <w:t xml:space="preserve">类项目确定的付款方式，采购人及时办理付款手续。对于满足合同约定支付条件的，自收到发票后10个工作日内将资金支付到合同约定的供应商账户或供应商数字人民币账户。</w:t>
      </w:r>
      <w:bookmarkEnd w:id="233"/>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3"/>
      </w:pPr>
      <w:r/>
      <w:bookmarkStart w:id="385" w:name="_Toc74"/>
      <w:r>
        <w:rPr>
          <w:rFonts w:hint="eastAsia" w:ascii="仿宋" w:hAnsi="仿宋" w:eastAsia="仿宋" w:cs="仿宋"/>
          <w:bCs/>
          <w:color w:val="auto"/>
          <w:sz w:val="24"/>
          <w:szCs w:val="24"/>
          <w:highlight w:val="none"/>
        </w:rPr>
        <w:t xml:space="preserve">（1）货物类项目</w:t>
      </w:r>
      <w:bookmarkEnd w:id="385"/>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预付款：合同金额的</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%，合同签订后按规定支付； </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u w:val="single"/>
        </w:rPr>
        <w:outlineLvl w:val="9"/>
      </w:pPr>
      <w:r>
        <w:rPr>
          <w:rFonts w:hint="eastAsia" w:ascii="仿宋" w:hAnsi="仿宋" w:eastAsia="仿宋" w:cs="仿宋"/>
          <w:bCs/>
          <w:color w:val="auto"/>
          <w:sz w:val="24"/>
          <w:szCs w:val="24"/>
          <w:highlight w:val="none"/>
        </w:rPr>
        <w:t xml:space="preserve">进度款：</w:t>
      </w:r>
      <w:bookmarkStart w:id="234" w:name="EBf1f8b954f7504a2cb44cef25707c76a6"/>
      <w:r/>
      <w:bookmarkEnd w:id="234"/>
      <w:r>
        <w:rPr>
          <w:rFonts w:hint="eastAsia" w:ascii="仿宋" w:hAnsi="仿宋" w:eastAsia="仿宋" w:cs="仿宋"/>
          <w:bCs/>
          <w:color w:val="auto"/>
          <w:sz w:val="24"/>
          <w:szCs w:val="24"/>
          <w:highlight w:val="none"/>
          <w:u w:val="single"/>
        </w:rPr>
        <w:t xml:space="preserve">                                。</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3"/>
      </w:pPr>
      <w:r/>
      <w:bookmarkStart w:id="386" w:name="_Toc75"/>
      <w:r>
        <w:rPr>
          <w:rFonts w:hint="eastAsia" w:ascii="仿宋" w:hAnsi="仿宋" w:eastAsia="仿宋" w:cs="仿宋"/>
          <w:bCs/>
          <w:color w:val="auto"/>
          <w:sz w:val="24"/>
          <w:szCs w:val="24"/>
          <w:highlight w:val="none"/>
        </w:rPr>
        <w:t xml:space="preserve">（2）服务类项目</w:t>
      </w:r>
      <w:bookmarkEnd w:id="386"/>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Cs/>
          <w:color w:val="auto"/>
          <w:sz w:val="24"/>
          <w:szCs w:val="24"/>
          <w:highlight w:val="none"/>
        </w:rPr>
        <w:t xml:space="preserve">预付款：合同金额的</w:t>
      </w:r>
      <w:bookmarkStart w:id="235" w:name="EBe373fd05aa034cc3a1a41aadf8509e01"/>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w:t>
      </w:r>
      <w:bookmarkEnd w:id="235"/>
      <w:r>
        <w:rPr>
          <w:rFonts w:hint="eastAsia" w:ascii="仿宋" w:hAnsi="仿宋" w:eastAsia="仿宋" w:cs="仿宋"/>
          <w:bCs/>
          <w:color w:val="auto"/>
          <w:sz w:val="24"/>
          <w:szCs w:val="24"/>
          <w:highlight w:val="none"/>
        </w:rPr>
        <w:t xml:space="preserve">，合同签订后按规定支付；</w:t>
      </w:r>
      <w:r>
        <w:rPr>
          <w:rFonts w:hint="eastAsia" w:ascii="仿宋" w:hAnsi="仿宋" w:eastAsia="仿宋" w:cs="仿宋"/>
          <w:color w:val="auto"/>
          <w:sz w:val="24"/>
          <w:szCs w:val="24"/>
          <w:highlight w:val="none"/>
        </w:rPr>
        <w:t xml:space="preserve"> </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进度款：</w:t>
      </w:r>
      <w:bookmarkStart w:id="236" w:name="EB5e42c1c1be704ecfa15d9f8f317e8f12"/>
      <w:r/>
      <w:bookmarkEnd w:id="236"/>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bCs/>
          <w:color w:val="auto"/>
          <w:sz w:val="24"/>
          <w:szCs w:val="24"/>
          <w:highlight w:val="none"/>
        </w:rPr>
        <w:outlineLvl w:val="3"/>
      </w:pPr>
      <w:r/>
      <w:bookmarkStart w:id="387" w:name="_Toc76"/>
      <w:r>
        <w:rPr>
          <w:rFonts w:hint="eastAsia" w:ascii="仿宋" w:hAnsi="仿宋" w:eastAsia="仿宋" w:cs="仿宋"/>
          <w:bCs/>
          <w:color w:val="auto"/>
          <w:sz w:val="24"/>
          <w:szCs w:val="24"/>
          <w:highlight w:val="none"/>
        </w:rPr>
        <w:t xml:space="preserve">（3）工程类项目</w:t>
      </w:r>
      <w:bookmarkEnd w:id="387"/>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Cs/>
          <w:color w:val="auto"/>
          <w:sz w:val="24"/>
          <w:szCs w:val="24"/>
          <w:highlight w:val="none"/>
        </w:rPr>
        <w:t xml:space="preserve">预付款：合同金额的</w:t>
      </w:r>
      <w:r>
        <w:rPr>
          <w:rFonts w:hint="eastAsia" w:ascii="仿宋" w:hAnsi="仿宋" w:eastAsia="仿宋" w:cs="仿宋"/>
          <w:bCs/>
          <w:color w:val="auto"/>
          <w:sz w:val="24"/>
          <w:szCs w:val="24"/>
          <w:highlight w:val="none"/>
          <w:u w:val="single"/>
          <w:lang w:val="en-US" w:eastAsia="zh-CN"/>
        </w:rPr>
        <w:t xml:space="preserve">10</w:t>
      </w:r>
      <w:r>
        <w:rPr>
          <w:rFonts w:hint="eastAsia" w:ascii="仿宋" w:hAnsi="仿宋" w:eastAsia="仿宋" w:cs="仿宋"/>
          <w:bCs/>
          <w:color w:val="auto"/>
          <w:sz w:val="24"/>
          <w:szCs w:val="24"/>
          <w:highlight w:val="none"/>
        </w:rPr>
        <w:t xml:space="preserve">%，合同签订后按规定支付；</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eastAsia="zh-CN"/>
        </w:rPr>
        <w:outlineLvl w:val="9"/>
      </w:pPr>
      <w:r>
        <w:rPr>
          <w:rFonts w:hint="eastAsia" w:ascii="仿宋" w:hAnsi="仿宋" w:eastAsia="仿宋" w:cs="仿宋"/>
          <w:bCs/>
          <w:color w:val="auto"/>
          <w:sz w:val="24"/>
          <w:szCs w:val="24"/>
          <w:highlight w:val="none"/>
        </w:rPr>
        <w:t xml:space="preserve">进度款：</w:t>
      </w:r>
      <w:r>
        <w:rPr>
          <w:rFonts w:hint="eastAsia" w:ascii="仿宋" w:hAnsi="仿宋" w:eastAsia="仿宋" w:cs="仿宋"/>
          <w:bCs/>
          <w:color w:val="auto"/>
          <w:sz w:val="24"/>
          <w:szCs w:val="24"/>
          <w:highlight w:val="none"/>
          <w:u w:val="single"/>
          <w:lang w:eastAsia="zh-CN"/>
        </w:rPr>
        <w:t xml:space="preserve">工程竣工并经验收合格后付至合同价款的80%，审计结束后付至审定价的97%，余款待质保期满后无质量问题一次性付清（无息）</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bookmarkStart w:id="237" w:name="EB11398ec6946f4019bc4c35221e27b04f"/>
      <w:r>
        <w:rPr>
          <w:rFonts w:hint="eastAsia" w:ascii="仿宋" w:hAnsi="仿宋" w:eastAsia="仿宋" w:cs="仿宋"/>
          <w:bCs/>
          <w:color w:val="auto"/>
          <w:sz w:val="24"/>
          <w:szCs w:val="24"/>
          <w:highlight w:val="none"/>
        </w:rPr>
        <w:t xml:space="preserve">注：在签订合同时，</w:t>
      </w:r>
      <w:r>
        <w:rPr>
          <w:rFonts w:hint="eastAsia" w:ascii="仿宋" w:hAnsi="仿宋" w:eastAsia="仿宋" w:cs="仿宋"/>
          <w:bCs/>
          <w:color w:val="auto"/>
          <w:sz w:val="24"/>
          <w:szCs w:val="24"/>
          <w:highlight w:val="none"/>
          <w:lang w:eastAsia="zh-CN"/>
        </w:rPr>
        <w:t xml:space="preserve">成交供应商</w:t>
      </w:r>
      <w:r>
        <w:rPr>
          <w:rFonts w:hint="eastAsia" w:ascii="仿宋" w:hAnsi="仿宋" w:eastAsia="仿宋" w:cs="仿宋"/>
          <w:bCs/>
          <w:color w:val="auto"/>
          <w:sz w:val="24"/>
          <w:szCs w:val="24"/>
          <w:highlight w:val="none"/>
        </w:rPr>
        <w:t xml:space="preserve">明确表示无需预付款或者主动要求降低预付款比例的金额，采购人可不适用预付款规定。</w:t>
      </w:r>
      <w:bookmarkEnd w:id="237"/>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eastAsia="zh-CN"/>
        </w:rPr>
        <w:outlineLvl w:val="9"/>
      </w:pPr>
      <w:r>
        <w:rPr>
          <w:rFonts w:hint="eastAsia" w:ascii="仿宋" w:hAnsi="仿宋" w:eastAsia="仿宋" w:cs="仿宋"/>
          <w:color w:val="auto"/>
          <w:sz w:val="24"/>
          <w:szCs w:val="24"/>
          <w:highlight w:val="none"/>
          <w:lang w:eastAsia="zh-CN"/>
        </w:rPr>
        <w:t xml:space="preserve">关于采购供应商合法权益补偿救济机制：在履约过程中，因政策变化、规划调整而无法履行合同约定、造成企业合法权益受损的，采购人依据实际情况对供应商进行补偿救济。</w:t>
      </w:r>
      <w:r/>
    </w:p>
    <w:p>
      <w:pPr>
        <w:jc w:val="center"/>
        <w:keepNext/>
        <w:rPr>
          <w:rFonts w:hint="eastAsia" w:ascii="仿宋" w:hAnsi="仿宋" w:eastAsia="仿宋" w:cs="仿宋"/>
          <w:color w:val="auto"/>
          <w:sz w:val="44"/>
          <w:szCs w:val="44"/>
          <w:highlight w:val="none"/>
        </w:rPr>
        <w:outlineLvl w:val="0"/>
      </w:pPr>
      <w:r/>
      <w:bookmarkStart w:id="388" w:name="_Toc77"/>
      <w:r>
        <w:rPr>
          <w:rFonts w:hint="eastAsia" w:ascii="仿宋" w:hAnsi="仿宋" w:eastAsia="仿宋" w:cs="仿宋"/>
          <w:bCs/>
          <w:color w:val="auto"/>
          <w:sz w:val="44"/>
          <w:szCs w:val="28"/>
          <w:highlight w:val="none"/>
        </w:rPr>
        <w:br w:type="page" w:clear="all"/>
      </w:r>
      <w:r>
        <w:rPr>
          <w:rFonts w:hint="eastAsia" w:ascii="仿宋" w:hAnsi="仿宋" w:eastAsia="仿宋" w:cs="仿宋"/>
          <w:b/>
          <w:bCs/>
          <w:color w:val="auto"/>
          <w:sz w:val="44"/>
          <w:szCs w:val="44"/>
          <w:highlight w:val="none"/>
        </w:rPr>
        <w:t xml:space="preserve">第三章  合同</w:t>
      </w:r>
      <w:r>
        <w:rPr>
          <w:rFonts w:hint="eastAsia" w:ascii="仿宋" w:hAnsi="仿宋" w:eastAsia="仿宋" w:cs="仿宋"/>
          <w:b/>
          <w:bCs/>
          <w:color w:val="auto"/>
          <w:sz w:val="44"/>
          <w:szCs w:val="44"/>
          <w:highlight w:val="none"/>
        </w:rPr>
        <w:t xml:space="preserve">文本</w:t>
      </w:r>
      <w:bookmarkEnd w:id="388"/>
      <w:r/>
      <w:r/>
    </w:p>
    <w:p>
      <w:pPr>
        <w:pStyle w:val="970"/>
        <w:ind w:firstLine="562"/>
        <w:jc w:val="both"/>
        <w:spacing w:line="440" w:lineRule="exact"/>
        <w:rPr>
          <w:rFonts w:hint="eastAsia" w:ascii="仿宋" w:hAnsi="仿宋" w:eastAsia="仿宋" w:cs="仿宋"/>
          <w:b/>
          <w:bCs/>
          <w:color w:val="auto"/>
          <w:sz w:val="36"/>
          <w:szCs w:val="36"/>
          <w:u w:val="none"/>
          <w:lang w:eastAsia="zh-CN"/>
        </w:rPr>
      </w:pPr>
      <w:r/>
      <w:bookmarkStart w:id="242" w:name="_Hlt16619369"/>
      <w:r/>
      <w:bookmarkEnd w:id="242"/>
      <w:r/>
      <w:bookmarkStart w:id="244" w:name="_Hlt16619350"/>
      <w:r/>
      <w:r/>
    </w:p>
    <w:p>
      <w:pPr>
        <w:pStyle w:val="895"/>
        <w:rPr>
          <w:rFonts w:hint="eastAsia" w:ascii="仿宋" w:hAnsi="仿宋" w:eastAsia="仿宋" w:cs="仿宋"/>
          <w:color w:val="auto"/>
          <w:lang w:eastAsia="zh-CN"/>
        </w:rPr>
      </w:pPr>
      <w:r>
        <w:rPr>
          <w:rFonts w:hint="eastAsia" w:ascii="仿宋" w:hAnsi="仿宋" w:eastAsia="仿宋" w:cs="仿宋"/>
          <w:color w:val="auto"/>
          <w:lang w:eastAsia="zh-CN"/>
        </w:rPr>
      </w:r>
      <w:r/>
    </w:p>
    <w:p>
      <w:pPr>
        <w:pStyle w:val="970"/>
        <w:ind w:firstLine="562"/>
        <w:jc w:val="center"/>
        <w:spacing w:line="440" w:lineRule="exact"/>
        <w:rPr>
          <w:rFonts w:hint="eastAsia" w:ascii="仿宋" w:hAnsi="仿宋" w:eastAsia="仿宋" w:cs="仿宋"/>
          <w:b/>
          <w:bCs/>
          <w:color w:val="auto"/>
          <w:sz w:val="36"/>
          <w:szCs w:val="36"/>
          <w:u w:val="none"/>
          <w:lang w:eastAsia="zh-CN"/>
        </w:rPr>
      </w:pPr>
      <w:r>
        <w:rPr>
          <w:rFonts w:hint="eastAsia" w:ascii="仿宋" w:hAnsi="仿宋" w:eastAsia="仿宋" w:cs="仿宋"/>
          <w:b/>
          <w:bCs/>
          <w:color w:val="auto"/>
          <w:sz w:val="36"/>
          <w:szCs w:val="36"/>
          <w:u w:val="none"/>
          <w:lang w:eastAsia="zh-CN"/>
        </w:rPr>
      </w:r>
      <w:r/>
    </w:p>
    <w:p>
      <w:pPr>
        <w:jc w:val="left"/>
        <w:spacing w:line="360" w:lineRule="exact"/>
        <w:rPr>
          <w:rFonts w:hint="eastAsia" w:ascii="仿宋" w:hAnsi="仿宋" w:eastAsia="仿宋" w:cs="仿宋"/>
          <w:bCs/>
          <w:color w:val="auto"/>
          <w:sz w:val="32"/>
          <w:szCs w:val="32"/>
          <w:highlight w:val="none"/>
        </w:rPr>
      </w:pPr>
      <w:r/>
      <w:bookmarkStart w:id="250" w:name="EB6741ddf28fc94cd0bc9ee20994bf1de5"/>
      <w:r>
        <w:rPr>
          <w:rFonts w:hint="eastAsia" w:ascii="仿宋" w:hAnsi="仿宋" w:eastAsia="仿宋" w:cs="仿宋"/>
          <w:bCs/>
          <w:color w:val="auto"/>
          <w:sz w:val="32"/>
          <w:szCs w:val="32"/>
          <w:highlight w:val="none"/>
        </w:rPr>
        <w:t xml:space="preserve">（GF—2017—0201）</w:t>
      </w:r>
      <w:r/>
    </w:p>
    <w:p>
      <w:pPr>
        <w:jc w:val="center"/>
        <w:spacing w:line="360" w:lineRule="exact"/>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r>
      <w:r/>
    </w:p>
    <w:p>
      <w:pPr>
        <w:jc w:val="center"/>
        <w:spacing w:line="360" w:lineRule="exact"/>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r>
      <w:r/>
    </w:p>
    <w:p>
      <w:pPr>
        <w:spacing w:line="360" w:lineRule="exact"/>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r>
      <w:r/>
    </w:p>
    <w:p>
      <w:pPr>
        <w:jc w:val="center"/>
        <w:rPr>
          <w:rFonts w:hint="eastAsia" w:ascii="仿宋" w:hAnsi="仿宋" w:eastAsia="仿宋" w:cs="仿宋"/>
          <w:b/>
          <w:color w:val="auto"/>
          <w:sz w:val="52"/>
          <w:szCs w:val="52"/>
          <w:highlight w:val="none"/>
        </w:rPr>
      </w:pPr>
      <w:r>
        <w:rPr>
          <w:rFonts w:hint="eastAsia" w:ascii="仿宋" w:hAnsi="仿宋" w:eastAsia="仿宋" w:cs="仿宋"/>
          <w:b/>
          <w:color w:val="auto"/>
          <w:sz w:val="72"/>
          <w:szCs w:val="52"/>
          <w:highlight w:val="none"/>
        </w:rPr>
        <w:t xml:space="preserve">建设工程施工合同</w:t>
      </w:r>
      <w:r>
        <w:rPr>
          <w:rFonts w:hint="eastAsia" w:ascii="仿宋" w:hAnsi="仿宋" w:eastAsia="仿宋" w:cs="仿宋"/>
          <w:b/>
          <w:color w:val="auto"/>
          <w:sz w:val="52"/>
          <w:szCs w:val="52"/>
          <w:highlight w:val="none"/>
        </w:rPr>
        <w:br/>
      </w:r>
      <w:r>
        <w:rPr>
          <w:rFonts w:hint="eastAsia" w:ascii="仿宋" w:hAnsi="仿宋" w:eastAsia="仿宋" w:cs="仿宋"/>
          <w:b/>
          <w:color w:val="auto"/>
          <w:sz w:val="52"/>
          <w:szCs w:val="52"/>
          <w:highlight w:val="none"/>
        </w:rPr>
        <w:t xml:space="preserve">（示范文本）</w:t>
      </w:r>
      <w:r/>
    </w:p>
    <w:p>
      <w:pPr>
        <w:jc w:val="center"/>
        <w:spacing w:line="360" w:lineRule="exact"/>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r>
      <w:r/>
    </w:p>
    <w:p>
      <w:pPr>
        <w:jc w:val="center"/>
        <w:spacing w:line="360" w:lineRule="exact"/>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r>
      <w:r/>
    </w:p>
    <w:p>
      <w:pPr>
        <w:jc w:val="center"/>
        <w:spacing w:line="360" w:lineRule="exact"/>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r>
      <w:r/>
    </w:p>
    <w:p>
      <w:pPr>
        <w:jc w:val="center"/>
        <w:spacing w:line="360" w:lineRule="exact"/>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r>
      <w:r/>
    </w:p>
    <w:p>
      <w:pPr>
        <w:spacing w:line="36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spacing w:line="36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spacing w:line="36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spacing w:line="36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spacing w:line="36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spacing w:line="36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spacing w:line="36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spacing w:line="36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spacing w:line="36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spacing w:line="36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spacing w:line="36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bl>
      <w:tblPr>
        <w:tblStyle w:val="697"/>
        <w:tblW w:w="0" w:type="auto"/>
        <w:jc w:val="center"/>
        <w:tblLayout w:type="fixed"/>
        <w:tblCellMar>
          <w:left w:w="108" w:type="dxa"/>
          <w:top w:w="0" w:type="dxa"/>
          <w:right w:w="108" w:type="dxa"/>
          <w:bottom w:w="0" w:type="dxa"/>
        </w:tblCellMar>
        <w:tblLook w:val="04A0" w:firstRow="1" w:lastRow="0" w:firstColumn="1" w:lastColumn="0" w:noHBand="0" w:noVBand="1"/>
      </w:tblPr>
      <w:tblGrid>
        <w:gridCol w:w="3518"/>
        <w:gridCol w:w="1276"/>
      </w:tblGrid>
      <w:tr>
        <w:trPr>
          <w:jc w:val="center"/>
        </w:trPr>
        <w:tc>
          <w:tcPr>
            <w:tcW w:w="3518" w:type="dxa"/>
            <w:vAlign w:val="top"/>
            <w:textDirection w:val="lrTb"/>
            <w:noWrap w:val="false"/>
          </w:tcPr>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住 房 城 乡 建 设 部</w:t>
            </w:r>
            <w:r/>
          </w:p>
        </w:tc>
        <w:tc>
          <w:tcPr>
            <w:tcW w:w="1276" w:type="dxa"/>
            <w:vAlign w:val="center"/>
            <w:vMerge w:val="restart"/>
            <w:textDirection w:val="lrTb"/>
            <w:noWrap w:val="false"/>
          </w:tcPr>
          <w:p>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制定</w:t>
            </w:r>
            <w:r/>
          </w:p>
        </w:tc>
      </w:tr>
      <w:tr>
        <w:trPr>
          <w:jc w:val="center"/>
        </w:trPr>
        <w:tc>
          <w:tcPr>
            <w:tcW w:w="3518" w:type="dxa"/>
            <w:vAlign w:val="top"/>
            <w:textDirection w:val="lrTb"/>
            <w:noWrap w:val="false"/>
          </w:tcPr>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国家工商行政管理总局</w:t>
            </w:r>
            <w:r/>
          </w:p>
        </w:tc>
        <w:tc>
          <w:tcPr>
            <w:tcW w:w="1276" w:type="dxa"/>
            <w:vAlign w:val="top"/>
            <w:vMerge w:val="continue"/>
            <w:textDirection w:val="lrTb"/>
            <w:noWrap w:val="false"/>
          </w:tcPr>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tc>
      </w:tr>
    </w:tbl>
    <w:p>
      <w:pPr>
        <w:rPr>
          <w:rFonts w:hint="eastAsia" w:ascii="仿宋" w:hAnsi="仿宋" w:eastAsia="仿宋" w:cs="仿宋"/>
          <w:b/>
          <w:color w:val="auto"/>
          <w:highlight w:val="none"/>
        </w:rPr>
      </w:pPr>
      <w:r>
        <w:rPr>
          <w:rFonts w:hint="eastAsia" w:ascii="仿宋" w:hAnsi="仿宋" w:eastAsia="仿宋" w:cs="仿宋"/>
          <w:b/>
          <w:color w:val="auto"/>
          <w:highlight w:val="none"/>
        </w:rPr>
      </w:r>
      <w:r/>
    </w:p>
    <w:p>
      <w:pPr>
        <w:ind w:firstLine="482"/>
        <w:jc w:val="center"/>
        <w:keepLines w:val="0"/>
        <w:keepNext w:val="0"/>
        <w:pageBreakBefore w:val="0"/>
        <w:spacing w:before="260" w:after="260" w:line="560" w:lineRule="exact"/>
        <w:widowControl w:val="off"/>
        <w:rPr>
          <w:rFonts w:hint="eastAsia" w:ascii="仿宋" w:hAnsi="仿宋" w:eastAsia="仿宋" w:cs="仿宋"/>
          <w:b/>
          <w:bCs/>
          <w:color w:val="auto"/>
          <w:sz w:val="24"/>
          <w:szCs w:val="24"/>
          <w:highlight w:val="none"/>
        </w:rPr>
        <w:outlineLvl w:val="2"/>
      </w:pPr>
      <w:r/>
      <w:bookmarkStart w:id="252" w:name="EB16c5893a5749427e8da9a233acc09680"/>
      <w:r/>
      <w:r/>
    </w:p>
    <w:p>
      <w:pPr>
        <w:ind w:firstLine="482"/>
        <w:jc w:val="center"/>
        <w:keepLines w:val="0"/>
        <w:keepNext w:val="0"/>
        <w:pageBreakBefore w:val="0"/>
        <w:spacing w:before="260" w:after="260" w:line="560" w:lineRule="exact"/>
        <w:widowControl w:val="off"/>
        <w:rPr>
          <w:rFonts w:hint="eastAsia" w:ascii="仿宋" w:hAnsi="仿宋" w:eastAsia="仿宋" w:cs="仿宋"/>
          <w:b/>
          <w:bCs/>
          <w:color w:val="auto"/>
          <w:sz w:val="24"/>
          <w:szCs w:val="24"/>
          <w:highlight w:val="none"/>
        </w:rPr>
        <w:outlineLvl w:val="2"/>
      </w:pPr>
      <w:r>
        <w:rPr>
          <w:rFonts w:hint="eastAsia" w:ascii="仿宋" w:hAnsi="仿宋" w:eastAsia="仿宋" w:cs="仿宋"/>
          <w:b/>
          <w:bCs/>
          <w:color w:val="auto"/>
          <w:sz w:val="24"/>
          <w:szCs w:val="24"/>
          <w:highlight w:val="none"/>
        </w:rPr>
      </w:r>
      <w:r/>
    </w:p>
    <w:p>
      <w:pPr>
        <w:ind w:firstLine="562"/>
        <w:jc w:val="center"/>
        <w:keepLines/>
        <w:keepNext/>
        <w:pageBreakBefore w:val="0"/>
        <w:spacing w:before="260" w:after="260" w:line="560" w:lineRule="exact"/>
        <w:widowControl w:val="off"/>
        <w:rPr>
          <w:rFonts w:hint="eastAsia" w:ascii="仿宋" w:hAnsi="仿宋" w:eastAsia="仿宋" w:cs="仿宋"/>
          <w:b/>
          <w:bCs/>
          <w:color w:val="auto"/>
          <w:sz w:val="28"/>
          <w:szCs w:val="28"/>
          <w:highlight w:val="none"/>
        </w:rPr>
        <w:outlineLvl w:val="2"/>
      </w:pPr>
      <w:r/>
      <w:bookmarkStart w:id="389" w:name="_Toc78"/>
      <w:r>
        <w:rPr>
          <w:rFonts w:hint="eastAsia" w:ascii="仿宋" w:hAnsi="仿宋" w:eastAsia="仿宋" w:cs="仿宋"/>
          <w:b/>
          <w:bCs/>
          <w:color w:val="auto"/>
          <w:sz w:val="28"/>
          <w:szCs w:val="28"/>
          <w:highlight w:val="none"/>
        </w:rPr>
        <w:t xml:space="preserve">第一部分 合同协议书</w:t>
      </w:r>
      <w:bookmarkEnd w:id="389"/>
      <w:r/>
      <w:r/>
    </w:p>
    <w:p>
      <w:pPr>
        <w:ind w:firstLine="482"/>
        <w:pageBreakBefore w:val="0"/>
        <w:spacing w:line="560" w:lineRule="exact"/>
        <w:widowControl w:val="off"/>
        <w:rPr>
          <w:rFonts w:hint="eastAsia" w:ascii="仿宋" w:hAnsi="仿宋" w:eastAsia="仿宋" w:cs="仿宋"/>
          <w:color w:val="auto"/>
          <w:sz w:val="24"/>
          <w:szCs w:val="24"/>
          <w:highlight w:val="none"/>
          <w:u w:val="single"/>
          <w:lang w:eastAsia="zh-CN"/>
        </w:rPr>
      </w:pPr>
      <w:r>
        <w:rPr>
          <w:rFonts w:hint="eastAsia" w:ascii="仿宋" w:hAnsi="仿宋" w:eastAsia="仿宋" w:cs="仿宋"/>
          <w:b/>
          <w:color w:val="auto"/>
          <w:sz w:val="24"/>
          <w:szCs w:val="24"/>
          <w:highlight w:val="none"/>
        </w:rPr>
        <w:t xml:space="preserve">发包人（全称）：</w:t>
      </w:r>
      <w:r>
        <w:rPr>
          <w:rFonts w:hint="eastAsia" w:ascii="仿宋" w:hAnsi="仿宋" w:eastAsia="仿宋" w:cs="仿宋"/>
          <w:b/>
          <w:bCs/>
          <w:color w:val="auto"/>
          <w:sz w:val="24"/>
          <w:szCs w:val="24"/>
          <w:highlight w:val="none"/>
          <w:u w:val="single"/>
          <w:lang w:eastAsia="zh-CN"/>
        </w:rPr>
        <w:t xml:space="preserve">宿迁幼儿师范高等专科学校</w:t>
      </w:r>
      <w:r/>
    </w:p>
    <w:p>
      <w:pPr>
        <w:ind w:firstLine="482"/>
        <w:pageBreakBefore w:val="0"/>
        <w:spacing w:line="560" w:lineRule="exact"/>
        <w:widowControl w:val="off"/>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 xml:space="preserve">承包人（全称）：</w:t>
      </w:r>
      <w:r>
        <w:rPr>
          <w:rFonts w:hint="eastAsia" w:ascii="仿宋" w:hAnsi="仿宋" w:eastAsia="仿宋" w:cs="仿宋"/>
          <w:b/>
          <w:color w:val="auto"/>
          <w:sz w:val="24"/>
          <w:szCs w:val="24"/>
          <w:highlight w:val="none"/>
          <w:u w:val="single"/>
        </w:rPr>
        <w:t xml:space="preserve">                                   </w:t>
      </w:r>
      <w:r/>
    </w:p>
    <w:p>
      <w:pPr>
        <w:ind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根据《中华人民共和国民法典》、《中华人民共和国建筑法》及有关法律规定，遵循平等、自愿、公平和诚实信用的原则，双方就工程施工及有关事项协商一致，共同达成如下协议：</w:t>
      </w:r>
      <w:r/>
    </w:p>
    <w:p>
      <w:pPr>
        <w:ind w:firstLine="482"/>
        <w:keepLines/>
        <w:keepNext/>
        <w:pageBreakBefore w:val="0"/>
        <w:spacing w:before="120" w:after="120" w:line="560" w:lineRule="exact"/>
        <w:widowControl w:val="off"/>
        <w:rPr>
          <w:rFonts w:hint="eastAsia" w:ascii="仿宋" w:hAnsi="仿宋" w:eastAsia="仿宋" w:cs="仿宋"/>
          <w:b/>
          <w:bCs w:val="0"/>
          <w:color w:val="auto"/>
          <w:sz w:val="24"/>
          <w:szCs w:val="24"/>
          <w:highlight w:val="none"/>
        </w:rPr>
        <w:outlineLvl w:val="3"/>
      </w:pPr>
      <w:r/>
      <w:bookmarkStart w:id="390" w:name="_Toc79"/>
      <w:r>
        <w:rPr>
          <w:rFonts w:hint="eastAsia" w:ascii="仿宋" w:hAnsi="仿宋" w:eastAsia="仿宋" w:cs="仿宋"/>
          <w:b/>
          <w:bCs w:val="0"/>
          <w:color w:val="auto"/>
          <w:sz w:val="24"/>
          <w:szCs w:val="24"/>
          <w:highlight w:val="none"/>
        </w:rPr>
        <w:t xml:space="preserve">一、工程概况</w:t>
      </w:r>
      <w:bookmarkEnd w:id="390"/>
      <w:r/>
      <w:r/>
    </w:p>
    <w:p>
      <w:pPr>
        <w:ind w:firstLine="480"/>
        <w:pageBreakBefore w:val="0"/>
        <w:spacing w:line="560" w:lineRule="exact"/>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1.工程名称：</w:t>
      </w:r>
      <w:r>
        <w:rPr>
          <w:rFonts w:hint="eastAsia" w:ascii="仿宋" w:hAnsi="仿宋" w:eastAsia="仿宋" w:cs="仿宋"/>
          <w:bCs/>
          <w:color w:val="auto"/>
          <w:sz w:val="24"/>
          <w:szCs w:val="24"/>
          <w:highlight w:val="none"/>
          <w:u w:val="single"/>
          <w:lang w:eastAsia="zh-CN"/>
        </w:rPr>
        <w:t xml:space="preserve">宿迁幼儿师范高等专科学校泽园一、二、三宿舍公寓化维修改造工程</w:t>
      </w:r>
      <w:r/>
    </w:p>
    <w:p>
      <w:pPr>
        <w:ind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2.工程地点：</w:t>
      </w:r>
      <w:r>
        <w:rPr>
          <w:rFonts w:hint="eastAsia" w:ascii="仿宋" w:hAnsi="仿宋" w:eastAsia="仿宋" w:cs="仿宋"/>
          <w:bCs/>
          <w:color w:val="auto"/>
          <w:sz w:val="24"/>
          <w:szCs w:val="24"/>
          <w:highlight w:val="none"/>
          <w:u w:val="single"/>
          <w:lang w:eastAsia="zh-CN"/>
        </w:rPr>
        <w:t xml:space="preserve">宿迁幼儿师范高等专科学校</w:t>
      </w:r>
      <w:r/>
    </w:p>
    <w:p>
      <w:pPr>
        <w:ind w:firstLine="480"/>
        <w:pageBreakBefore w:val="0"/>
        <w:spacing w:line="560" w:lineRule="exact"/>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3.工程立项批准文号：</w:t>
      </w:r>
      <w:r>
        <w:rPr>
          <w:rFonts w:hint="eastAsia" w:ascii="仿宋" w:hAnsi="仿宋" w:eastAsia="仿宋" w:cs="仿宋"/>
          <w:bCs/>
          <w:color w:val="auto"/>
          <w:sz w:val="24"/>
          <w:szCs w:val="24"/>
          <w:highlight w:val="none"/>
          <w:lang w:val="en-US" w:eastAsia="zh-CN"/>
        </w:rPr>
        <w:t xml:space="preserve">/</w:t>
      </w:r>
      <w:r/>
    </w:p>
    <w:p>
      <w:pPr>
        <w:ind w:firstLine="480"/>
        <w:pageBreakBefore w:val="0"/>
        <w:spacing w:line="560" w:lineRule="exact"/>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4.资金来源：</w:t>
      </w:r>
      <w:r>
        <w:rPr>
          <w:rFonts w:hint="eastAsia" w:ascii="仿宋" w:hAnsi="仿宋" w:eastAsia="仿宋" w:cs="仿宋"/>
          <w:bCs/>
          <w:color w:val="auto"/>
          <w:sz w:val="24"/>
          <w:szCs w:val="24"/>
          <w:highlight w:val="none"/>
          <w:u w:val="single"/>
          <w:lang w:eastAsia="zh-CN"/>
        </w:rPr>
        <w:t xml:space="preserve">财政资金</w:t>
      </w:r>
      <w:r/>
    </w:p>
    <w:p>
      <w:pPr>
        <w:ind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5.工程内容：</w:t>
      </w:r>
      <w:r>
        <w:rPr>
          <w:rFonts w:hint="eastAsia" w:ascii="仿宋" w:hAnsi="仿宋" w:eastAsia="仿宋" w:cs="仿宋"/>
          <w:bCs/>
          <w:color w:val="auto"/>
          <w:sz w:val="24"/>
          <w:szCs w:val="24"/>
          <w:highlight w:val="none"/>
          <w:u w:val="single"/>
          <w:lang w:eastAsia="zh-CN"/>
        </w:rPr>
        <w:t xml:space="preserve">宿迁幼儿师范高等专科学校泽园一、二、三宿舍公寓化维修改造工程</w:t>
      </w:r>
      <w:r>
        <w:rPr>
          <w:rFonts w:hint="eastAsia" w:ascii="仿宋" w:hAnsi="仿宋" w:eastAsia="仿宋" w:cs="仿宋"/>
          <w:bCs/>
          <w:color w:val="auto"/>
          <w:sz w:val="24"/>
          <w:szCs w:val="24"/>
          <w:highlight w:val="none"/>
          <w:u w:val="single"/>
        </w:rPr>
        <w:t xml:space="preserve">，包括工程量清单全部内容。</w:t>
      </w:r>
      <w:r/>
    </w:p>
    <w:p>
      <w:pPr>
        <w:ind w:firstLine="480"/>
        <w:pageBreakBefore w:val="0"/>
        <w:spacing w:line="560" w:lineRule="exact"/>
        <w:widowControl w:val="off"/>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6.工程承包范围：</w:t>
      </w:r>
      <w:r>
        <w:rPr>
          <w:rFonts w:hint="eastAsia" w:ascii="仿宋" w:hAnsi="仿宋" w:eastAsia="仿宋" w:cs="仿宋"/>
          <w:bCs/>
          <w:color w:val="auto"/>
          <w:sz w:val="24"/>
          <w:szCs w:val="24"/>
          <w:highlight w:val="none"/>
          <w:u w:val="single"/>
          <w:lang w:eastAsia="zh-CN"/>
        </w:rPr>
        <w:t xml:space="preserve">宿迁幼儿师范高等专科学校泽园一、二、三宿舍公寓化维修改造工程</w:t>
      </w:r>
      <w:r>
        <w:rPr>
          <w:rFonts w:hint="eastAsia" w:ascii="仿宋" w:hAnsi="仿宋" w:eastAsia="仿宋" w:cs="仿宋"/>
          <w:bCs/>
          <w:color w:val="auto"/>
          <w:sz w:val="24"/>
          <w:szCs w:val="24"/>
          <w:highlight w:val="none"/>
          <w:u w:val="single"/>
        </w:rPr>
        <w:t xml:space="preserve">，包括工程量清单全部内容。</w:t>
      </w:r>
      <w:r/>
    </w:p>
    <w:p>
      <w:pPr>
        <w:ind w:firstLine="482"/>
        <w:keepLines/>
        <w:keepNext/>
        <w:pageBreakBefore w:val="0"/>
        <w:spacing w:before="120" w:after="120" w:line="560" w:lineRule="exact"/>
        <w:widowControl w:val="off"/>
        <w:rPr>
          <w:rFonts w:hint="eastAsia" w:ascii="仿宋" w:hAnsi="仿宋" w:eastAsia="仿宋" w:cs="仿宋"/>
          <w:b/>
          <w:bCs/>
          <w:color w:val="auto"/>
          <w:sz w:val="24"/>
          <w:szCs w:val="24"/>
          <w:highlight w:val="none"/>
        </w:rPr>
        <w:outlineLvl w:val="3"/>
      </w:pPr>
      <w:r/>
      <w:bookmarkStart w:id="391" w:name="_Toc80"/>
      <w:r>
        <w:rPr>
          <w:rFonts w:hint="eastAsia" w:ascii="仿宋" w:hAnsi="仿宋" w:eastAsia="仿宋" w:cs="仿宋"/>
          <w:b/>
          <w:bCs/>
          <w:color w:val="auto"/>
          <w:sz w:val="24"/>
          <w:szCs w:val="24"/>
          <w:highlight w:val="none"/>
        </w:rPr>
        <w:t xml:space="preserve">二、合同工期</w:t>
      </w:r>
      <w:bookmarkEnd w:id="391"/>
      <w:r/>
      <w:r/>
    </w:p>
    <w:p>
      <w:pPr>
        <w:ind w:firstLine="48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计划开工日期：</w:t>
      </w:r>
      <w:r>
        <w:rPr>
          <w:rFonts w:hint="eastAsia" w:ascii="仿宋" w:hAnsi="仿宋" w:eastAsia="仿宋" w:cs="仿宋"/>
          <w:color w:val="auto"/>
          <w:sz w:val="24"/>
          <w:szCs w:val="24"/>
          <w:highlight w:val="none"/>
          <w:u w:val="single"/>
          <w:lang w:val="en-US" w:eastAsia="zh-CN"/>
        </w:rPr>
        <w:t xml:space="preserve">2026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30</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eastAsia="zh-CN"/>
        </w:rPr>
        <w:t xml:space="preserve">，具体</w:t>
      </w:r>
      <w:r>
        <w:rPr>
          <w:rFonts w:hint="eastAsia" w:ascii="仿宋" w:hAnsi="仿宋" w:eastAsia="仿宋" w:cs="仿宋"/>
          <w:color w:val="auto"/>
          <w:sz w:val="24"/>
          <w:szCs w:val="24"/>
          <w:highlight w:val="none"/>
        </w:rPr>
        <w:t xml:space="preserve">开工日期</w:t>
      </w:r>
      <w:r>
        <w:rPr>
          <w:rFonts w:hint="eastAsia" w:ascii="仿宋" w:hAnsi="仿宋" w:eastAsia="仿宋" w:cs="仿宋"/>
          <w:color w:val="auto"/>
          <w:sz w:val="24"/>
          <w:szCs w:val="24"/>
          <w:highlight w:val="none"/>
          <w:lang w:val="en-US" w:eastAsia="zh-CN"/>
        </w:rPr>
        <w:t xml:space="preserve">以发包人通知为准。</w:t>
      </w:r>
      <w:r/>
    </w:p>
    <w:p>
      <w:pPr>
        <w:ind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计划竣工日期：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ind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工期总日历天数：</w:t>
      </w:r>
      <w:r>
        <w:rPr>
          <w:rFonts w:hint="eastAsia" w:ascii="仿宋" w:hAnsi="仿宋" w:eastAsia="仿宋" w:cs="仿宋"/>
          <w:color w:val="auto"/>
          <w:sz w:val="24"/>
          <w:szCs w:val="24"/>
          <w:highlight w:val="none"/>
          <w:u w:val="single"/>
          <w:lang w:val="en-US" w:eastAsia="zh-CN"/>
        </w:rPr>
        <w:t xml:space="preserve">30</w:t>
      </w:r>
      <w:r>
        <w:rPr>
          <w:rFonts w:hint="eastAsia" w:ascii="仿宋" w:hAnsi="仿宋" w:eastAsia="仿宋" w:cs="仿宋"/>
          <w:color w:val="auto"/>
          <w:sz w:val="24"/>
          <w:szCs w:val="24"/>
          <w:highlight w:val="none"/>
        </w:rPr>
        <w:t xml:space="preserve">日历天。工期总日历天数与根据前述计划开竣工日期计算的工期天数不一致的，以工期总日历天数为准。</w:t>
      </w:r>
      <w:r/>
    </w:p>
    <w:p>
      <w:pPr>
        <w:ind w:firstLine="482"/>
        <w:keepLines/>
        <w:keepNext/>
        <w:pageBreakBefore w:val="0"/>
        <w:spacing w:before="120" w:after="120" w:line="560" w:lineRule="exact"/>
        <w:widowControl w:val="off"/>
        <w:rPr>
          <w:rFonts w:hint="eastAsia" w:ascii="仿宋" w:hAnsi="仿宋" w:eastAsia="仿宋" w:cs="仿宋"/>
          <w:b/>
          <w:bCs w:val="0"/>
          <w:color w:val="auto"/>
          <w:sz w:val="24"/>
          <w:szCs w:val="24"/>
          <w:highlight w:val="none"/>
        </w:rPr>
        <w:outlineLvl w:val="3"/>
      </w:pPr>
      <w:r/>
      <w:bookmarkStart w:id="392" w:name="_Toc81"/>
      <w:r>
        <w:rPr>
          <w:rFonts w:hint="eastAsia" w:ascii="仿宋" w:hAnsi="仿宋" w:eastAsia="仿宋" w:cs="仿宋"/>
          <w:b/>
          <w:bCs w:val="0"/>
          <w:color w:val="auto"/>
          <w:sz w:val="24"/>
          <w:szCs w:val="24"/>
          <w:highlight w:val="none"/>
        </w:rPr>
        <w:t xml:space="preserve">三、质量标准</w:t>
      </w:r>
      <w:bookmarkEnd w:id="392"/>
      <w:r/>
      <w:r/>
    </w:p>
    <w:p>
      <w:pPr>
        <w:ind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工程质量符合</w:t>
      </w:r>
      <w:r>
        <w:rPr>
          <w:rFonts w:hint="eastAsia" w:ascii="仿宋" w:hAnsi="仿宋" w:eastAsia="仿宋" w:cs="仿宋"/>
          <w:color w:val="auto"/>
          <w:sz w:val="24"/>
          <w:szCs w:val="24"/>
          <w:highlight w:val="none"/>
          <w:u w:val="single"/>
        </w:rPr>
        <w:t xml:space="preserve">合格</w:t>
      </w:r>
      <w:r>
        <w:rPr>
          <w:rFonts w:hint="eastAsia" w:ascii="仿宋" w:hAnsi="仿宋" w:eastAsia="仿宋" w:cs="仿宋"/>
          <w:color w:val="auto"/>
          <w:sz w:val="24"/>
          <w:szCs w:val="24"/>
          <w:highlight w:val="none"/>
        </w:rPr>
        <w:t xml:space="preserve">标准。</w:t>
      </w:r>
      <w:r/>
    </w:p>
    <w:p>
      <w:pPr>
        <w:ind w:firstLine="482"/>
        <w:keepLines/>
        <w:keepNext/>
        <w:pageBreakBefore w:val="0"/>
        <w:spacing w:before="120" w:after="120" w:line="560" w:lineRule="exact"/>
        <w:widowControl w:val="off"/>
        <w:rPr>
          <w:rFonts w:hint="eastAsia" w:ascii="仿宋" w:hAnsi="仿宋" w:eastAsia="仿宋" w:cs="仿宋"/>
          <w:b/>
          <w:color w:val="auto"/>
          <w:sz w:val="24"/>
          <w:szCs w:val="24"/>
          <w:highlight w:val="none"/>
        </w:rPr>
        <w:outlineLvl w:val="3"/>
      </w:pPr>
      <w:r/>
      <w:bookmarkStart w:id="393" w:name="_Toc82"/>
      <w:r>
        <w:rPr>
          <w:rFonts w:hint="eastAsia" w:ascii="仿宋" w:hAnsi="仿宋" w:eastAsia="仿宋" w:cs="仿宋"/>
          <w:b/>
          <w:bCs w:val="0"/>
          <w:color w:val="auto"/>
          <w:sz w:val="24"/>
          <w:szCs w:val="24"/>
          <w:highlight w:val="none"/>
        </w:rPr>
        <w:t xml:space="preserve">四、签约合同价与合同价格形式</w:t>
      </w:r>
      <w:r>
        <w:rPr>
          <w:rFonts w:hint="eastAsia" w:ascii="仿宋" w:hAnsi="仿宋" w:eastAsia="仿宋" w:cs="仿宋"/>
          <w:bCs/>
          <w:color w:val="auto"/>
          <w:sz w:val="24"/>
          <w:szCs w:val="24"/>
          <w:highlight w:val="none"/>
        </w:rPr>
        <w:tab/>
      </w:r>
      <w:bookmarkEnd w:id="393"/>
      <w:r/>
      <w:r/>
    </w:p>
    <w:p>
      <w:pPr>
        <w:ind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1.签约合同价为：</w:t>
      </w:r>
      <w:r/>
    </w:p>
    <w:p>
      <w:pPr>
        <w:ind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p>
    <w:p>
      <w:pPr>
        <w:ind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其中：</w:t>
      </w:r>
      <w:r/>
    </w:p>
    <w:p>
      <w:pPr>
        <w:ind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（1）安全文明施工费：</w:t>
      </w:r>
      <w:r/>
    </w:p>
    <w:p>
      <w:pPr>
        <w:ind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元)；</w:t>
      </w:r>
      <w:r/>
    </w:p>
    <w:p>
      <w:pPr>
        <w:ind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（2）材料和工程设备暂估价金额：</w:t>
      </w:r>
      <w:r/>
    </w:p>
    <w:p>
      <w:pPr>
        <w:ind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p>
    <w:p>
      <w:pPr>
        <w:ind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（3）专业工程暂估价金额：</w:t>
      </w:r>
      <w:r/>
    </w:p>
    <w:p>
      <w:pPr>
        <w:ind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p>
    <w:p>
      <w:pPr>
        <w:ind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（4）暂列金额：</w:t>
      </w:r>
      <w:r/>
    </w:p>
    <w:p>
      <w:pPr>
        <w:ind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元)。</w:t>
      </w:r>
      <w:r/>
    </w:p>
    <w:p>
      <w:pPr>
        <w:ind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2.合同价格形式：</w:t>
      </w:r>
      <w:r>
        <w:rPr>
          <w:rFonts w:hint="eastAsia" w:ascii="仿宋" w:hAnsi="仿宋" w:eastAsia="仿宋" w:cs="仿宋"/>
          <w:color w:val="auto"/>
          <w:sz w:val="24"/>
          <w:szCs w:val="24"/>
          <w:highlight w:val="none"/>
          <w:u w:val="single"/>
        </w:rPr>
        <w:t xml:space="preserve"> 单价合同</w:t>
      </w:r>
      <w:r>
        <w:rPr>
          <w:rFonts w:hint="eastAsia" w:ascii="仿宋" w:hAnsi="仿宋" w:eastAsia="仿宋" w:cs="仿宋"/>
          <w:color w:val="auto"/>
          <w:sz w:val="24"/>
          <w:szCs w:val="24"/>
          <w:highlight w:val="none"/>
        </w:rPr>
        <w:t xml:space="preserve">。</w:t>
      </w:r>
      <w:r/>
    </w:p>
    <w:p>
      <w:pPr>
        <w:ind w:firstLine="482"/>
        <w:keepLines/>
        <w:keepNext/>
        <w:pageBreakBefore w:val="0"/>
        <w:spacing w:before="120" w:after="120" w:line="560" w:lineRule="exact"/>
        <w:widowControl w:val="off"/>
        <w:rPr>
          <w:rFonts w:hint="eastAsia" w:ascii="仿宋" w:hAnsi="仿宋" w:eastAsia="仿宋" w:cs="仿宋"/>
          <w:b/>
          <w:bCs w:val="0"/>
          <w:color w:val="auto"/>
          <w:sz w:val="24"/>
          <w:szCs w:val="24"/>
          <w:highlight w:val="none"/>
        </w:rPr>
        <w:outlineLvl w:val="3"/>
      </w:pPr>
      <w:r/>
      <w:bookmarkStart w:id="394" w:name="_Toc83"/>
      <w:r>
        <w:rPr>
          <w:rFonts w:hint="eastAsia" w:ascii="仿宋" w:hAnsi="仿宋" w:eastAsia="仿宋" w:cs="仿宋"/>
          <w:b/>
          <w:bCs w:val="0"/>
          <w:color w:val="auto"/>
          <w:sz w:val="24"/>
          <w:szCs w:val="24"/>
          <w:highlight w:val="none"/>
        </w:rPr>
        <w:t xml:space="preserve">五、</w:t>
      </w:r>
      <w:r>
        <w:rPr>
          <w:rFonts w:hint="eastAsia" w:ascii="仿宋" w:hAnsi="仿宋" w:eastAsia="仿宋" w:cs="仿宋"/>
          <w:b/>
          <w:bCs w:val="0"/>
          <w:color w:val="auto"/>
          <w:sz w:val="24"/>
          <w:szCs w:val="24"/>
          <w:highlight w:val="none"/>
        </w:rPr>
        <w:t xml:space="preserve">项目经理</w:t>
      </w:r>
      <w:bookmarkEnd w:id="394"/>
      <w:r/>
      <w:r/>
    </w:p>
    <w:p>
      <w:pPr>
        <w:ind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承包人项目经理：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2"/>
        <w:keepLines/>
        <w:keepNext/>
        <w:pageBreakBefore w:val="0"/>
        <w:spacing w:before="120" w:after="120" w:line="560" w:lineRule="exact"/>
        <w:widowControl w:val="off"/>
        <w:rPr>
          <w:rFonts w:hint="eastAsia" w:ascii="仿宋" w:hAnsi="仿宋" w:eastAsia="仿宋" w:cs="仿宋"/>
          <w:b/>
          <w:bCs w:val="0"/>
          <w:color w:val="auto"/>
          <w:sz w:val="24"/>
          <w:szCs w:val="24"/>
          <w:highlight w:val="none"/>
        </w:rPr>
        <w:outlineLvl w:val="3"/>
      </w:pPr>
      <w:r/>
      <w:bookmarkStart w:id="395" w:name="_Toc84"/>
      <w:r>
        <w:rPr>
          <w:rFonts w:hint="eastAsia" w:ascii="仿宋" w:hAnsi="仿宋" w:eastAsia="仿宋" w:cs="仿宋"/>
          <w:b/>
          <w:bCs w:val="0"/>
          <w:color w:val="auto"/>
          <w:sz w:val="24"/>
          <w:szCs w:val="24"/>
          <w:highlight w:val="none"/>
        </w:rPr>
        <w:t xml:space="preserve">六、合同文件构成</w:t>
      </w:r>
      <w:bookmarkEnd w:id="395"/>
      <w:r/>
      <w:r/>
    </w:p>
    <w:p>
      <w:pPr>
        <w:ind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本协议书与下列文件一起构成合同文件：</w:t>
      </w:r>
      <w:r/>
    </w:p>
    <w:p>
      <w:pPr>
        <w:ind w:firstLine="480"/>
        <w:jc w:val="left"/>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（1）中标通知书 ；</w:t>
      </w:r>
      <w:r/>
    </w:p>
    <w:p>
      <w:pPr>
        <w:ind w:firstLine="480"/>
        <w:jc w:val="left"/>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（2）投标函及其附录 ； </w:t>
      </w:r>
      <w:r/>
    </w:p>
    <w:p>
      <w:pPr>
        <w:ind w:firstLine="480"/>
        <w:jc w:val="left"/>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（3）专用合同条款及其附件；</w:t>
      </w:r>
      <w:r/>
    </w:p>
    <w:p>
      <w:pPr>
        <w:ind w:firstLine="480"/>
        <w:jc w:val="left"/>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（4）通用合同条款；</w:t>
      </w:r>
      <w:r/>
    </w:p>
    <w:p>
      <w:pPr>
        <w:ind w:firstLine="480"/>
        <w:jc w:val="left"/>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（5）技术标准和要求；</w:t>
      </w:r>
      <w:r/>
    </w:p>
    <w:p>
      <w:pPr>
        <w:ind w:firstLine="480"/>
        <w:jc w:val="left"/>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）已标价工程量清单或预算书；</w:t>
      </w:r>
      <w:r/>
    </w:p>
    <w:p>
      <w:pPr>
        <w:ind w:firstLine="480"/>
        <w:jc w:val="left"/>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）其他合同文件。</w:t>
      </w:r>
      <w:r/>
    </w:p>
    <w:p>
      <w:pPr>
        <w:ind w:firstLine="480"/>
        <w:jc w:val="left"/>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在合同订立及履行过程中形成的与合同有关的文件均构成合同文件组成部分。</w:t>
      </w:r>
      <w:r/>
    </w:p>
    <w:p>
      <w:pPr>
        <w:ind w:firstLine="480"/>
        <w:jc w:val="left"/>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82"/>
        <w:keepLines/>
        <w:keepNext/>
        <w:pageBreakBefore w:val="0"/>
        <w:spacing w:before="120" w:after="120" w:line="560" w:lineRule="exact"/>
        <w:widowControl w:val="off"/>
        <w:rPr>
          <w:rFonts w:hint="eastAsia" w:ascii="仿宋" w:hAnsi="仿宋" w:eastAsia="仿宋" w:cs="仿宋"/>
          <w:b/>
          <w:bCs w:val="0"/>
          <w:color w:val="auto"/>
          <w:sz w:val="24"/>
          <w:szCs w:val="24"/>
          <w:highlight w:val="none"/>
        </w:rPr>
        <w:outlineLvl w:val="3"/>
      </w:pPr>
      <w:r/>
      <w:bookmarkStart w:id="396" w:name="_Toc85"/>
      <w:r>
        <w:rPr>
          <w:rFonts w:hint="eastAsia" w:ascii="仿宋" w:hAnsi="仿宋" w:eastAsia="仿宋" w:cs="仿宋"/>
          <w:b/>
          <w:bCs w:val="0"/>
          <w:color w:val="auto"/>
          <w:sz w:val="24"/>
          <w:szCs w:val="24"/>
          <w:highlight w:val="none"/>
        </w:rPr>
        <w:t xml:space="preserve">七、承诺</w:t>
      </w:r>
      <w:bookmarkEnd w:id="396"/>
      <w:r/>
      <w:r/>
    </w:p>
    <w:p>
      <w:pPr>
        <w:ind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1.发包人承诺按照法律规定履行项目审批手续、筹集工程建设资金并按照合同约定的期限和方式支付合同价款。</w:t>
      </w:r>
      <w:r/>
    </w:p>
    <w:p>
      <w:pPr>
        <w:ind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3.发包人和承包人通过招投标形式签订合同的，双方理解并承诺不再就同一工程另行签订与合同实质性内容相背离的协议。</w:t>
      </w:r>
      <w:r/>
    </w:p>
    <w:p>
      <w:pPr>
        <w:ind w:firstLine="482"/>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八、词语含义</w:t>
      </w:r>
      <w:r/>
    </w:p>
    <w:p>
      <w:pPr>
        <w:ind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本协议书中词语含义与第二部分通用合同条款中赋予的含义相同。</w:t>
      </w:r>
      <w:r/>
    </w:p>
    <w:p>
      <w:pPr>
        <w:ind w:firstLine="482"/>
        <w:keepLines/>
        <w:keepNext/>
        <w:pageBreakBefore w:val="0"/>
        <w:spacing w:before="120" w:after="120" w:line="560" w:lineRule="exact"/>
        <w:widowControl w:val="off"/>
        <w:rPr>
          <w:rFonts w:hint="eastAsia" w:ascii="仿宋" w:hAnsi="仿宋" w:eastAsia="仿宋" w:cs="仿宋"/>
          <w:b/>
          <w:bCs w:val="0"/>
          <w:color w:val="auto"/>
          <w:sz w:val="24"/>
          <w:szCs w:val="24"/>
          <w:highlight w:val="none"/>
        </w:rPr>
        <w:outlineLvl w:val="3"/>
      </w:pPr>
      <w:r/>
      <w:bookmarkStart w:id="397" w:name="_Toc86"/>
      <w:r>
        <w:rPr>
          <w:rFonts w:hint="eastAsia" w:ascii="仿宋" w:hAnsi="仿宋" w:eastAsia="仿宋" w:cs="仿宋"/>
          <w:b/>
          <w:bCs w:val="0"/>
          <w:color w:val="auto"/>
          <w:sz w:val="24"/>
          <w:szCs w:val="24"/>
          <w:highlight w:val="none"/>
        </w:rPr>
        <w:t xml:space="preserve">九、签订时间</w:t>
      </w:r>
      <w:bookmarkEnd w:id="397"/>
      <w:r/>
      <w:r/>
    </w:p>
    <w:p>
      <w:pPr>
        <w:ind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本合同于</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rPr>
        <w:t xml:space="preserve">日签订。</w:t>
      </w:r>
      <w:r/>
    </w:p>
    <w:p>
      <w:pPr>
        <w:ind w:firstLine="482"/>
        <w:keepLines/>
        <w:keepNext/>
        <w:pageBreakBefore w:val="0"/>
        <w:spacing w:before="120" w:after="120" w:line="560" w:lineRule="exact"/>
        <w:widowControl w:val="off"/>
        <w:rPr>
          <w:rFonts w:hint="eastAsia" w:ascii="仿宋" w:hAnsi="仿宋" w:eastAsia="仿宋" w:cs="仿宋"/>
          <w:b/>
          <w:bCs w:val="0"/>
          <w:color w:val="auto"/>
          <w:sz w:val="24"/>
          <w:szCs w:val="24"/>
          <w:highlight w:val="none"/>
        </w:rPr>
        <w:outlineLvl w:val="3"/>
      </w:pPr>
      <w:r/>
      <w:bookmarkStart w:id="398" w:name="_Toc87"/>
      <w:r>
        <w:rPr>
          <w:rFonts w:hint="eastAsia" w:ascii="仿宋" w:hAnsi="仿宋" w:eastAsia="仿宋" w:cs="仿宋"/>
          <w:b/>
          <w:bCs w:val="0"/>
          <w:color w:val="auto"/>
          <w:sz w:val="24"/>
          <w:szCs w:val="24"/>
          <w:highlight w:val="none"/>
        </w:rPr>
        <w:t xml:space="preserve">十、签订地点</w:t>
      </w:r>
      <w:bookmarkEnd w:id="398"/>
      <w:r/>
      <w:r/>
    </w:p>
    <w:p>
      <w:pPr>
        <w:ind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本合同在</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rPr>
        <w:t xml:space="preserve">签订。</w:t>
      </w:r>
      <w:r/>
    </w:p>
    <w:p>
      <w:pPr>
        <w:ind w:firstLine="482"/>
        <w:keepLines/>
        <w:keepNext/>
        <w:pageBreakBefore w:val="0"/>
        <w:spacing w:before="120" w:after="120" w:line="560" w:lineRule="exact"/>
        <w:widowControl w:val="off"/>
        <w:rPr>
          <w:rFonts w:hint="eastAsia" w:ascii="仿宋" w:hAnsi="仿宋" w:eastAsia="仿宋" w:cs="仿宋"/>
          <w:b/>
          <w:bCs w:val="0"/>
          <w:color w:val="auto"/>
          <w:sz w:val="24"/>
          <w:szCs w:val="24"/>
          <w:highlight w:val="none"/>
        </w:rPr>
        <w:outlineLvl w:val="3"/>
      </w:pPr>
      <w:r/>
      <w:bookmarkStart w:id="399" w:name="_Toc88"/>
      <w:r>
        <w:rPr>
          <w:rFonts w:hint="eastAsia" w:ascii="仿宋" w:hAnsi="仿宋" w:eastAsia="仿宋" w:cs="仿宋"/>
          <w:b/>
          <w:bCs w:val="0"/>
          <w:color w:val="auto"/>
          <w:sz w:val="24"/>
          <w:szCs w:val="24"/>
          <w:highlight w:val="none"/>
        </w:rPr>
        <w:t xml:space="preserve">十一、补充协议</w:t>
      </w:r>
      <w:bookmarkEnd w:id="399"/>
      <w:r/>
      <w:r/>
    </w:p>
    <w:p>
      <w:pPr>
        <w:ind w:firstLine="48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合同未尽事宜，合同当事人另行签订补充协议，补充协议是合同的组成部分。</w:t>
      </w:r>
      <w:r/>
    </w:p>
    <w:p>
      <w:pPr>
        <w:ind w:firstLine="482"/>
        <w:keepLines/>
        <w:keepNext/>
        <w:pageBreakBefore w:val="0"/>
        <w:spacing w:before="120" w:after="120" w:line="560" w:lineRule="exact"/>
        <w:widowControl w:val="off"/>
        <w:rPr>
          <w:rFonts w:hint="eastAsia" w:ascii="仿宋" w:hAnsi="仿宋" w:eastAsia="仿宋" w:cs="仿宋"/>
          <w:b/>
          <w:bCs w:val="0"/>
          <w:color w:val="auto"/>
          <w:sz w:val="24"/>
          <w:szCs w:val="24"/>
          <w:highlight w:val="none"/>
        </w:rPr>
        <w:outlineLvl w:val="3"/>
      </w:pPr>
      <w:r/>
      <w:bookmarkStart w:id="400" w:name="_Toc89"/>
      <w:r>
        <w:rPr>
          <w:rFonts w:hint="eastAsia" w:ascii="仿宋" w:hAnsi="仿宋" w:eastAsia="仿宋" w:cs="仿宋"/>
          <w:b/>
          <w:bCs w:val="0"/>
          <w:color w:val="auto"/>
          <w:sz w:val="24"/>
          <w:szCs w:val="24"/>
          <w:highlight w:val="none"/>
        </w:rPr>
        <w:t xml:space="preserve">十二、合同生效</w:t>
      </w:r>
      <w:bookmarkEnd w:id="400"/>
      <w:r/>
      <w:r/>
    </w:p>
    <w:p>
      <w:pPr>
        <w:ind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本合同自</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rPr>
        <w:t xml:space="preserve">生效。</w:t>
      </w:r>
      <w:r/>
    </w:p>
    <w:p>
      <w:pPr>
        <w:ind w:firstLine="482"/>
        <w:keepLines/>
        <w:keepNext/>
        <w:pageBreakBefore w:val="0"/>
        <w:spacing w:before="120" w:after="120" w:line="560" w:lineRule="exact"/>
        <w:widowControl w:val="off"/>
        <w:rPr>
          <w:rFonts w:hint="eastAsia" w:ascii="仿宋" w:hAnsi="仿宋" w:eastAsia="仿宋" w:cs="仿宋"/>
          <w:b/>
          <w:bCs w:val="0"/>
          <w:color w:val="auto"/>
          <w:sz w:val="24"/>
          <w:szCs w:val="24"/>
          <w:highlight w:val="none"/>
        </w:rPr>
        <w:outlineLvl w:val="3"/>
      </w:pPr>
      <w:r/>
      <w:bookmarkStart w:id="401" w:name="_Toc90"/>
      <w:r>
        <w:rPr>
          <w:rFonts w:hint="eastAsia" w:ascii="仿宋" w:hAnsi="仿宋" w:eastAsia="仿宋" w:cs="仿宋"/>
          <w:b/>
          <w:bCs w:val="0"/>
          <w:color w:val="auto"/>
          <w:sz w:val="24"/>
          <w:szCs w:val="24"/>
          <w:highlight w:val="none"/>
        </w:rPr>
        <w:t xml:space="preserve">十三、合同份数</w:t>
      </w:r>
      <w:bookmarkEnd w:id="401"/>
      <w:r/>
      <w:r/>
    </w:p>
    <w:p>
      <w:pPr>
        <w:ind w:firstLine="480"/>
        <w:pageBreakBefore w:val="0"/>
        <w:spacing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本合同一式拾贰份，均具有同等法律效力，发包人陆份，承包人陆份。</w:t>
      </w:r>
      <w:r/>
    </w:p>
    <w:p>
      <w:pPr>
        <w:ind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  (公章)                         承包人：  (公章)</w:t>
      </w:r>
      <w:r/>
    </w:p>
    <w:p>
      <w:pPr>
        <w:ind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法定代表人或其委托代理人：（签字）     法定代表人或其委托代理人：（签字）</w:t>
      </w:r>
      <w:r/>
    </w:p>
    <w:p>
      <w:pPr>
        <w:ind w:firstLine="480"/>
        <w:pageBreakBefore w:val="0"/>
        <w:spacing w:line="560" w:lineRule="exact"/>
        <w:widowControl w:val="off"/>
        <w:tabs>
          <w:tab w:val="left" w:pos="441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组织机构代码：                           组织机构代码：</w:t>
      </w:r>
      <w:r/>
    </w:p>
    <w:p>
      <w:pPr>
        <w:ind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                                 地  址：</w:t>
      </w:r>
      <w:r/>
    </w:p>
    <w:p>
      <w:pPr>
        <w:ind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                               邮政编码：</w:t>
      </w:r>
      <w:r/>
    </w:p>
    <w:p>
      <w:pPr>
        <w:ind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                             法定代表人：</w:t>
      </w:r>
      <w:r/>
    </w:p>
    <w:p>
      <w:pPr>
        <w:ind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                             委托代理人：</w:t>
      </w:r>
      <w:r/>
    </w:p>
    <w:p>
      <w:pPr>
        <w:ind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                                 电  话：</w:t>
      </w:r>
      <w:r/>
    </w:p>
    <w:p>
      <w:pPr>
        <w:ind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                                 传  真：</w:t>
      </w:r>
      <w:r/>
    </w:p>
    <w:p>
      <w:pPr>
        <w:ind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                               电子信箱：</w:t>
      </w:r>
      <w:r/>
    </w:p>
    <w:p>
      <w:pPr>
        <w:ind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                               开户银行：</w:t>
      </w:r>
      <w:r/>
    </w:p>
    <w:p>
      <w:pPr>
        <w:ind w:firstLine="48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                                 账 号：</w:t>
      </w:r>
      <w:r/>
    </w:p>
    <w:p>
      <w:pPr>
        <w:jc w:val="center"/>
        <w:keepLines/>
        <w:keepNext/>
        <w:spacing w:before="260" w:after="260" w:line="413" w:lineRule="auto"/>
        <w:rPr>
          <w:rFonts w:hint="eastAsia" w:ascii="仿宋" w:hAnsi="仿宋" w:eastAsia="仿宋" w:cs="仿宋"/>
          <w:b/>
          <w:bCs/>
          <w:color w:val="auto"/>
          <w:sz w:val="28"/>
          <w:szCs w:val="28"/>
          <w:highlight w:val="none"/>
        </w:rPr>
        <w:outlineLvl w:val="2"/>
      </w:pPr>
      <w:r/>
      <w:bookmarkStart w:id="402" w:name="_Toc91"/>
      <w:r>
        <w:rPr>
          <w:rFonts w:hint="eastAsia" w:ascii="仿宋" w:hAnsi="仿宋" w:eastAsia="仿宋" w:cs="仿宋"/>
          <w:b/>
          <w:bCs/>
          <w:color w:val="auto"/>
          <w:sz w:val="24"/>
          <w:szCs w:val="24"/>
          <w:highlight w:val="none"/>
        </w:rPr>
        <w:br w:type="page" w:clear="all"/>
      </w:r>
      <w:r>
        <w:rPr>
          <w:rFonts w:hint="eastAsia" w:ascii="仿宋" w:hAnsi="仿宋" w:eastAsia="仿宋" w:cs="仿宋"/>
          <w:b/>
          <w:bCs/>
          <w:color w:val="auto"/>
          <w:sz w:val="28"/>
          <w:szCs w:val="28"/>
          <w:highlight w:val="none"/>
        </w:rPr>
        <w:t xml:space="preserve">第二部分 通用合同条款</w:t>
      </w:r>
      <w:bookmarkEnd w:id="402"/>
      <w:r/>
      <w:r/>
    </w:p>
    <w:p>
      <w:pPr>
        <w:ind w:firstLine="48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4"/>
          <w:szCs w:val="24"/>
          <w:highlight w:val="none"/>
        </w:rPr>
        <w:t xml:space="preserve">执行《建设工程施工合同（示范文本）》（GF-2017-0201）第二部分通用合同条款</w:t>
      </w:r>
      <w:r/>
    </w:p>
    <w:p>
      <w:pPr>
        <w:jc w:val="center"/>
        <w:keepLines/>
        <w:keepNext/>
        <w:spacing w:before="260" w:after="260" w:line="413" w:lineRule="auto"/>
        <w:rPr>
          <w:rFonts w:hint="eastAsia" w:ascii="仿宋" w:hAnsi="仿宋" w:eastAsia="仿宋" w:cs="仿宋"/>
          <w:b/>
          <w:bCs/>
          <w:color w:val="auto"/>
          <w:sz w:val="28"/>
          <w:szCs w:val="28"/>
          <w:highlight w:val="none"/>
        </w:rPr>
        <w:outlineLvl w:val="2"/>
      </w:pPr>
      <w:r/>
      <w:bookmarkStart w:id="403" w:name="_Toc92"/>
      <w:r>
        <w:rPr>
          <w:rFonts w:hint="eastAsia" w:ascii="仿宋" w:hAnsi="仿宋" w:eastAsia="仿宋" w:cs="仿宋"/>
          <w:b/>
          <w:bCs/>
          <w:color w:val="auto"/>
          <w:sz w:val="28"/>
          <w:szCs w:val="28"/>
          <w:highlight w:val="none"/>
        </w:rPr>
        <w:t xml:space="preserve">第三部分 专用合同条款</w:t>
      </w:r>
      <w:bookmarkEnd w:id="403"/>
      <w:r/>
      <w:r/>
    </w:p>
    <w:p>
      <w:pPr>
        <w:ind w:firstLine="480"/>
        <w:keepLines w:val="0"/>
        <w:keepNext w:val="0"/>
        <w:pageBreakBefore w:val="0"/>
        <w:spacing w:before="120" w:after="120" w:line="560" w:lineRule="exact"/>
        <w:widowControl w:val="off"/>
        <w:rPr>
          <w:rFonts w:hint="eastAsia" w:ascii="仿宋" w:hAnsi="仿宋" w:eastAsia="仿宋" w:cs="仿宋"/>
          <w:color w:val="auto"/>
          <w:sz w:val="24"/>
          <w:szCs w:val="24"/>
          <w:highlight w:val="none"/>
        </w:rPr>
        <w:outlineLvl w:val="3"/>
      </w:pPr>
      <w:r/>
      <w:bookmarkStart w:id="404" w:name="_Toc93"/>
      <w:r/>
      <w:bookmarkStart w:id="278" w:name="EBf915952f7d1544fd84bcb86c82268796"/>
      <w:r>
        <w:rPr>
          <w:rFonts w:hint="eastAsia" w:ascii="仿宋" w:hAnsi="仿宋" w:eastAsia="仿宋" w:cs="仿宋"/>
          <w:color w:val="auto"/>
          <w:sz w:val="24"/>
          <w:szCs w:val="24"/>
          <w:highlight w:val="none"/>
        </w:rPr>
        <w:t xml:space="preserve">1.一般约定</w:t>
      </w:r>
      <w:bookmarkEnd w:id="404"/>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1.1词语定义</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1.1.1合同</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1.1.1.10其他合同文件包括：</w:t>
      </w:r>
      <w:r>
        <w:rPr>
          <w:rFonts w:hint="eastAsia" w:ascii="仿宋" w:hAnsi="仿宋" w:eastAsia="仿宋" w:cs="仿宋"/>
          <w:color w:val="auto"/>
          <w:sz w:val="24"/>
          <w:szCs w:val="24"/>
          <w:highlight w:val="none"/>
          <w:u w:val="single"/>
        </w:rPr>
        <w:t xml:space="preserve">(1)施工招标文件（包括修改澄清通知）及答疑、投标文件及附件；(2)明确双方权利、义务的纪要、协议；（3）双方有关工程的合同洽商、变更等书面协议或文件等</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1.1.2合同当事人及其他相关方</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1.1.2.4监理人：</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1.1.2.5设计人：</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1.1.3工程和设备</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1.1.3.7作为施工现场组成部分的其他场所包括：</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1.1.3.9永久占地包括：</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1.1.3.10临时占地包括：</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1.3法律</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适用于合同的其他规范性文件：</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 标准和规范</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1.4.1适用于工程的标准规范包括：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 发包人提供国外标准、规范的名称：</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发包人提供国外标准、规范的份数：</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发包人提供国外标准、规范的名称：</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1.4.3发包人对工程的技术标准和功能要求的特殊要求：</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1.5合同文件的优先顺序</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合同文件组成及优先顺序为：</w:t>
      </w:r>
      <w:r>
        <w:rPr>
          <w:rFonts w:hint="eastAsia" w:ascii="仿宋" w:hAnsi="仿宋" w:eastAsia="仿宋" w:cs="仿宋"/>
          <w:color w:val="auto"/>
          <w:sz w:val="24"/>
          <w:szCs w:val="24"/>
          <w:highlight w:val="none"/>
          <w:u w:val="single"/>
        </w:rPr>
        <w:t xml:space="preserve">（1）本合同协议书；（2）中标通知书；（3）投标函及投标函附录；（4）本合同专用条款；（5）本合同通用条款；（6）技术标准和要求；（7）已标价工程量清单；（8）其他合同文件。</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1.6图纸和承包人文件</w:t>
      </w:r>
      <w:r>
        <w:rPr>
          <w:rFonts w:hint="eastAsia" w:ascii="仿宋" w:hAnsi="仿宋" w:eastAsia="仿宋" w:cs="仿宋"/>
          <w:color w:val="auto"/>
          <w:sz w:val="24"/>
          <w:szCs w:val="24"/>
          <w:highlight w:val="none"/>
        </w:rPr>
        <w:tab/>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1.6.1图纸的提供</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发包人向承包人提供图纸的期限：</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发包人向承包人提供图纸的数量：</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发包人向承包人提供图纸的内容：</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1.6.4承包人文件</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需要由承包人提供的文件，包括：</w:t>
      </w:r>
      <w:r>
        <w:rPr>
          <w:rFonts w:hint="eastAsia" w:ascii="仿宋" w:hAnsi="仿宋" w:eastAsia="仿宋" w:cs="仿宋"/>
          <w:color w:val="auto"/>
          <w:sz w:val="24"/>
          <w:szCs w:val="24"/>
          <w:highlight w:val="none"/>
          <w:u w:val="single"/>
        </w:rPr>
        <w:t xml:space="preserve">工程进度计划、材料进场总计划、甲供材及设备进场计划。进场施工前提供材料计划，材料投标品牌，按发包方及监理方要求提供详细的施工进度计划、已完工程量报表（含工程变更及签证预算、发包人供材料清单、承包人购材料清单、材料进场计划等资料）。分项的施工组织设计在开工前向发包人提供；</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承包人提供的文件的期限为：</w:t>
      </w:r>
      <w:r>
        <w:rPr>
          <w:rFonts w:hint="eastAsia" w:ascii="仿宋" w:hAnsi="仿宋" w:eastAsia="仿宋" w:cs="仿宋"/>
          <w:color w:val="auto"/>
          <w:sz w:val="24"/>
          <w:szCs w:val="24"/>
          <w:highlight w:val="none"/>
          <w:u w:val="single"/>
        </w:rPr>
        <w:t xml:space="preserve">开工前15天</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承包人提供的文件的数量为：</w:t>
      </w:r>
      <w:r>
        <w:rPr>
          <w:rFonts w:hint="eastAsia" w:ascii="仿宋" w:hAnsi="仿宋" w:eastAsia="仿宋" w:cs="仿宋"/>
          <w:color w:val="auto"/>
          <w:sz w:val="24"/>
          <w:szCs w:val="24"/>
          <w:highlight w:val="none"/>
          <w:u w:val="single"/>
        </w:rPr>
        <w:t xml:space="preserve">贰套</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承包人提供的文件的形式为：</w:t>
      </w:r>
      <w:r>
        <w:rPr>
          <w:rFonts w:hint="eastAsia" w:ascii="仿宋" w:hAnsi="仿宋" w:eastAsia="仿宋" w:cs="仿宋"/>
          <w:color w:val="auto"/>
          <w:sz w:val="24"/>
          <w:szCs w:val="24"/>
          <w:highlight w:val="none"/>
          <w:u w:val="single"/>
        </w:rPr>
        <w:t xml:space="preserve">纸质加盖承包人公章</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发包人审批承包人文件的期限：</w:t>
      </w:r>
      <w:r>
        <w:rPr>
          <w:rFonts w:hint="eastAsia" w:ascii="仿宋" w:hAnsi="仿宋" w:eastAsia="仿宋" w:cs="仿宋"/>
          <w:color w:val="auto"/>
          <w:sz w:val="24"/>
          <w:szCs w:val="24"/>
          <w:highlight w:val="none"/>
          <w:u w:val="single"/>
        </w:rPr>
        <w:t xml:space="preserve">收到资料后七天内</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1.6.5现场图纸准备</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关于现场图纸准备的约定：</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rPr>
        <w:t xml:space="preserve">。</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1.7联络</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1.7.1发包人和承包人应当在</w:t>
      </w:r>
      <w:r>
        <w:rPr>
          <w:rFonts w:hint="eastAsia" w:ascii="仿宋" w:hAnsi="仿宋" w:eastAsia="仿宋" w:cs="仿宋"/>
          <w:color w:val="auto"/>
          <w:sz w:val="24"/>
          <w:szCs w:val="24"/>
          <w:highlight w:val="none"/>
          <w:u w:val="single"/>
        </w:rPr>
        <w:t xml:space="preserve"> 五 </w:t>
      </w:r>
      <w:r>
        <w:rPr>
          <w:rFonts w:hint="eastAsia" w:ascii="仿宋" w:hAnsi="仿宋" w:eastAsia="仿宋" w:cs="仿宋"/>
          <w:color w:val="auto"/>
          <w:sz w:val="24"/>
          <w:szCs w:val="24"/>
          <w:highlight w:val="none"/>
        </w:rPr>
        <w:t xml:space="preserve">天内将与合同有关的通知、批准、证明、证书、指示、指令、要求、请求、同意、意见、确定和决定等书面函件送达对方当事人。</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1.7.2发包人接收文件的地点：</w:t>
      </w:r>
      <w:r>
        <w:rPr>
          <w:rFonts w:hint="eastAsia" w:ascii="仿宋" w:hAnsi="仿宋" w:eastAsia="仿宋" w:cs="仿宋"/>
          <w:color w:val="auto"/>
          <w:sz w:val="24"/>
          <w:szCs w:val="24"/>
          <w:highlight w:val="none"/>
          <w:u w:val="single"/>
        </w:rPr>
        <w:t xml:space="preserve">项目现场</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发包人指定的接收人为：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承包人接收文件的地点：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承包人指定的接收人为：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监理人接收文件的地点：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监理人指定的接收人为：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1.10交通运输</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1.10.1出入现场的权利</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关于出入现场的权利的约定：</w:t>
      </w:r>
      <w:r>
        <w:rPr>
          <w:rFonts w:hint="eastAsia" w:ascii="仿宋" w:hAnsi="仿宋" w:eastAsia="仿宋" w:cs="仿宋"/>
          <w:color w:val="auto"/>
          <w:sz w:val="24"/>
          <w:szCs w:val="24"/>
          <w:highlight w:val="none"/>
          <w:u w:val="single"/>
        </w:rPr>
        <w:t xml:space="preserve">只有项目施工人员办理许可证才能进入施工现场，其他无关人员一律不能进入施工现场，如果擅自进入现场，由此而产生的后果由承包人自行负责</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1.10.3场内交通</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关于场外交通和场内交通的边界的约定：</w:t>
      </w:r>
      <w:r>
        <w:rPr>
          <w:rFonts w:hint="eastAsia" w:ascii="仿宋" w:hAnsi="仿宋" w:eastAsia="仿宋" w:cs="仿宋"/>
          <w:color w:val="auto"/>
          <w:sz w:val="24"/>
          <w:szCs w:val="24"/>
          <w:highlight w:val="none"/>
          <w:u w:val="single"/>
        </w:rPr>
        <w:t xml:space="preserve">施工场地内和本项目有关的道路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关于发包人向承包人免费提供满足工程施工需要的场内道路和交通设施的约定：</w:t>
      </w:r>
      <w:r>
        <w:rPr>
          <w:rFonts w:hint="eastAsia" w:ascii="仿宋" w:hAnsi="仿宋" w:eastAsia="仿宋" w:cs="仿宋"/>
          <w:color w:val="auto"/>
          <w:sz w:val="24"/>
          <w:szCs w:val="24"/>
          <w:highlight w:val="none"/>
          <w:u w:val="single"/>
        </w:rPr>
        <w:t xml:space="preserve">由承包人自备</w:t>
      </w:r>
      <w:r>
        <w:rPr>
          <w:rFonts w:hint="eastAsia" w:ascii="仿宋" w:hAnsi="仿宋" w:eastAsia="仿宋" w:cs="仿宋"/>
          <w:color w:val="auto"/>
          <w:sz w:val="24"/>
          <w:szCs w:val="24"/>
          <w:highlight w:val="none"/>
        </w:rPr>
        <w:t xml:space="preserve">。  </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1.10.4超大件和超重件的运输</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运输超大件或超重件所需的道路和桥梁临时加固改造费用和其他有关费用由</w:t>
      </w:r>
      <w:r>
        <w:rPr>
          <w:rFonts w:hint="eastAsia" w:ascii="仿宋" w:hAnsi="仿宋" w:eastAsia="仿宋" w:cs="仿宋"/>
          <w:color w:val="auto"/>
          <w:sz w:val="24"/>
          <w:szCs w:val="24"/>
          <w:highlight w:val="none"/>
          <w:u w:val="single"/>
        </w:rPr>
        <w:t xml:space="preserve"> 承包人</w:t>
      </w:r>
      <w:r>
        <w:rPr>
          <w:rFonts w:hint="eastAsia" w:ascii="仿宋" w:hAnsi="仿宋" w:eastAsia="仿宋" w:cs="仿宋"/>
          <w:color w:val="auto"/>
          <w:sz w:val="24"/>
          <w:szCs w:val="24"/>
          <w:highlight w:val="none"/>
        </w:rPr>
        <w:t xml:space="preserve">承担。</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1.11知识产权</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1.11.1发包人为实施工程自行编制或委托编制的技术规范以及反映发包人关于合同要求或其他类似性质的文件的著作权的归属：</w:t>
      </w:r>
      <w:r>
        <w:rPr>
          <w:rFonts w:hint="eastAsia" w:ascii="仿宋" w:hAnsi="仿宋" w:eastAsia="仿宋" w:cs="仿宋"/>
          <w:color w:val="auto"/>
          <w:sz w:val="24"/>
          <w:szCs w:val="24"/>
          <w:highlight w:val="none"/>
          <w:u w:val="single"/>
        </w:rPr>
        <w:t xml:space="preserve">归发包人所有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1.11.2关于承包人为实施工程所编制文件的著作权的归属：</w:t>
      </w:r>
      <w:r>
        <w:rPr>
          <w:rFonts w:hint="eastAsia" w:ascii="仿宋" w:hAnsi="仿宋" w:eastAsia="仿宋" w:cs="仿宋"/>
          <w:color w:val="auto"/>
          <w:sz w:val="24"/>
          <w:szCs w:val="24"/>
          <w:highlight w:val="none"/>
          <w:u w:val="single"/>
        </w:rPr>
        <w:t xml:space="preserve">归承包人所有</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关于承包人提供的上述文件的使用限制的要求：</w:t>
      </w:r>
      <w:r>
        <w:rPr>
          <w:rFonts w:hint="eastAsia" w:ascii="仿宋" w:hAnsi="仿宋" w:eastAsia="仿宋" w:cs="仿宋"/>
          <w:color w:val="auto"/>
          <w:sz w:val="24"/>
          <w:szCs w:val="24"/>
          <w:highlight w:val="none"/>
          <w:u w:val="single"/>
        </w:rPr>
        <w:t xml:space="preserve">不得用于与本工程无关的一切事宜</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1.11.4承包人在施工过程中所采用的专利、专有技术、技术秘密的使用费的承担方式：</w:t>
      </w:r>
      <w:r>
        <w:rPr>
          <w:rFonts w:hint="eastAsia" w:ascii="仿宋" w:hAnsi="仿宋" w:eastAsia="仿宋" w:cs="仿宋"/>
          <w:color w:val="auto"/>
          <w:sz w:val="24"/>
          <w:szCs w:val="24"/>
          <w:highlight w:val="none"/>
          <w:u w:val="single"/>
        </w:rPr>
        <w:t xml:space="preserve">如有，将由承包人承担</w:t>
      </w:r>
      <w:r>
        <w:rPr>
          <w:rFonts w:hint="eastAsia" w:ascii="仿宋" w:hAnsi="仿宋" w:eastAsia="仿宋" w:cs="仿宋"/>
          <w:color w:val="auto"/>
          <w:sz w:val="24"/>
          <w:szCs w:val="24"/>
          <w:highlight w:val="none"/>
        </w:rPr>
        <w:t xml:space="preserve">。</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1.13工程量清单错误的修正</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出现工程量清单错误时，是否调整合同价格：</w:t>
      </w:r>
      <w:r>
        <w:rPr>
          <w:rFonts w:hint="eastAsia" w:ascii="仿宋" w:hAnsi="仿宋" w:eastAsia="仿宋" w:cs="仿宋"/>
          <w:color w:val="auto"/>
          <w:sz w:val="24"/>
          <w:szCs w:val="24"/>
          <w:highlight w:val="none"/>
          <w:u w:val="single"/>
        </w:rPr>
        <w:t xml:space="preserve">  否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允许调整合同价格的工程量偏差范围：</w:t>
      </w:r>
      <w:r>
        <w:rPr>
          <w:rFonts w:hint="eastAsia" w:ascii="仿宋" w:hAnsi="仿宋" w:eastAsia="仿宋" w:cs="仿宋"/>
          <w:color w:val="auto"/>
          <w:sz w:val="24"/>
          <w:szCs w:val="24"/>
          <w:highlight w:val="none"/>
          <w:u w:val="single"/>
        </w:rPr>
        <w:t xml:space="preserve">  /  </w:t>
      </w:r>
      <w:r/>
    </w:p>
    <w:p>
      <w:pPr>
        <w:ind w:firstLine="480"/>
        <w:keepLines w:val="0"/>
        <w:keepNext w:val="0"/>
        <w:pageBreakBefore w:val="0"/>
        <w:spacing w:before="120" w:after="120" w:line="560" w:lineRule="exact"/>
        <w:widowControl w:val="off"/>
        <w:rPr>
          <w:rFonts w:hint="eastAsia" w:ascii="仿宋" w:hAnsi="仿宋" w:eastAsia="仿宋" w:cs="仿宋"/>
          <w:color w:val="auto"/>
          <w:sz w:val="24"/>
          <w:szCs w:val="24"/>
          <w:highlight w:val="none"/>
        </w:rPr>
        <w:outlineLvl w:val="3"/>
      </w:pPr>
      <w:r/>
      <w:bookmarkStart w:id="405" w:name="_Toc94"/>
      <w:r>
        <w:rPr>
          <w:rFonts w:hint="eastAsia" w:ascii="仿宋" w:hAnsi="仿宋" w:eastAsia="仿宋" w:cs="仿宋"/>
          <w:color w:val="auto"/>
          <w:sz w:val="24"/>
          <w:szCs w:val="24"/>
          <w:highlight w:val="none"/>
        </w:rPr>
        <w:t xml:space="preserve">2.发包人</w:t>
      </w:r>
      <w:bookmarkEnd w:id="405"/>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2.2发包人代表</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发包人代表：</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发包人对发包人代表的授权范围如下：</w:t>
      </w:r>
      <w:r>
        <w:rPr>
          <w:rFonts w:hint="eastAsia" w:ascii="仿宋" w:hAnsi="仿宋" w:eastAsia="仿宋" w:cs="仿宋"/>
          <w:color w:val="auto"/>
          <w:sz w:val="24"/>
          <w:szCs w:val="24"/>
          <w:highlight w:val="none"/>
          <w:u w:val="single"/>
        </w:rPr>
        <w:t xml:space="preserve">施工组织设计和总进度计划的审批权；工程变更的确认权；发布开工令、停工令、复工令权；工程款的审查权和支付权；特殊及重要施工工艺和材料发包；合同的解释；等等。</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2.4施工现场、施工条件和基础资料的提供</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2.4.1提供施工现场</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关于发包人移交施工现场的期限要求：</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2.4.2提供施工条件</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关于发包人应负责提供施工所需要的条件，包括：</w:t>
      </w:r>
      <w:r>
        <w:rPr>
          <w:rFonts w:hint="eastAsia" w:ascii="仿宋" w:hAnsi="仿宋" w:eastAsia="仿宋" w:cs="仿宋"/>
          <w:color w:val="auto"/>
          <w:sz w:val="24"/>
          <w:szCs w:val="24"/>
          <w:highlight w:val="none"/>
          <w:u w:val="single"/>
        </w:rPr>
        <w:t xml:space="preserve">（1)施工场地具备施工条件的要求及完成的时间：计划工期前将施工现场各种障碍物清除。如发包人认为需承包人积极配合或需要清除的障碍物，承包人应服从安排，配合工作，费用按责任划分，参照通用条款。（2)施工所需的水、电、电讯线路接至施工场地的时间、地点和供应要求：本工程发包人提供临水、临电接驳点，水电费已包含在合同价中，承包人配合发包人缴纳相关费用；（3）关于材料场地及办公用地由承包人自行解决</w:t>
      </w:r>
      <w:r>
        <w:rPr>
          <w:rFonts w:hint="eastAsia" w:ascii="仿宋" w:hAnsi="仿宋" w:eastAsia="仿宋" w:cs="仿宋"/>
          <w:color w:val="auto"/>
          <w:sz w:val="24"/>
          <w:szCs w:val="24"/>
          <w:highlight w:val="none"/>
        </w:rPr>
        <w:t xml:space="preserve">。</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2.5资金来源证明及支付担保</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发包人提供资金来源证明的期限要求：</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发包人是否提供支付担保：</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发包人提供支付担保的形式：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keepLines w:val="0"/>
        <w:keepNext w:val="0"/>
        <w:pageBreakBefore w:val="0"/>
        <w:spacing w:before="120" w:after="120" w:line="560" w:lineRule="exact"/>
        <w:widowControl w:val="off"/>
        <w:rPr>
          <w:rFonts w:hint="eastAsia" w:ascii="仿宋" w:hAnsi="仿宋" w:eastAsia="仿宋" w:cs="仿宋"/>
          <w:color w:val="auto"/>
          <w:sz w:val="24"/>
          <w:szCs w:val="24"/>
          <w:highlight w:val="none"/>
        </w:rPr>
        <w:outlineLvl w:val="3"/>
      </w:pPr>
      <w:r/>
      <w:bookmarkStart w:id="406" w:name="_Toc95"/>
      <w:r>
        <w:rPr>
          <w:rFonts w:hint="eastAsia" w:ascii="仿宋" w:hAnsi="仿宋" w:eastAsia="仿宋" w:cs="仿宋"/>
          <w:color w:val="auto"/>
          <w:sz w:val="24"/>
          <w:szCs w:val="24"/>
          <w:highlight w:val="none"/>
        </w:rPr>
        <w:t xml:space="preserve">3.承包人</w:t>
      </w:r>
      <w:bookmarkEnd w:id="406"/>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3.1承包人的一般义务</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（5）承包人提交的竣工资料的内容：</w:t>
      </w:r>
      <w:r>
        <w:rPr>
          <w:rFonts w:hint="eastAsia" w:ascii="仿宋" w:hAnsi="仿宋" w:eastAsia="仿宋" w:cs="仿宋"/>
          <w:color w:val="auto"/>
          <w:sz w:val="24"/>
          <w:szCs w:val="24"/>
          <w:highlight w:val="none"/>
          <w:u w:val="single"/>
        </w:rPr>
        <w:t xml:space="preserve">工程建设项目竣工验收前，承包人应根据合同工作内容要求，汇总为完整的建设项目竣工资料一式伍套报发包人。否则每迟一天，向发包人支付5000元的违约金</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承包人需要提交的竣工资料套数：</w:t>
      </w:r>
      <w:r>
        <w:rPr>
          <w:rFonts w:hint="eastAsia" w:ascii="仿宋" w:hAnsi="仿宋" w:eastAsia="仿宋" w:cs="仿宋"/>
          <w:color w:val="auto"/>
          <w:sz w:val="24"/>
          <w:szCs w:val="24"/>
          <w:highlight w:val="none"/>
          <w:u w:val="single"/>
        </w:rPr>
        <w:t xml:space="preserve">一式五套</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承包人提交的竣工资料的费用承担：</w:t>
      </w:r>
      <w:r>
        <w:rPr>
          <w:rFonts w:hint="eastAsia" w:ascii="仿宋" w:hAnsi="仿宋" w:eastAsia="仿宋" w:cs="仿宋"/>
          <w:color w:val="auto"/>
          <w:sz w:val="24"/>
          <w:szCs w:val="24"/>
          <w:highlight w:val="none"/>
          <w:u w:val="single"/>
        </w:rPr>
        <w:t xml:space="preserve">由承包人承担</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承包人提交的竣工资料移交时间：</w:t>
      </w:r>
      <w:r>
        <w:rPr>
          <w:rFonts w:hint="eastAsia" w:ascii="仿宋" w:hAnsi="仿宋" w:eastAsia="仿宋" w:cs="仿宋"/>
          <w:color w:val="auto"/>
          <w:sz w:val="24"/>
          <w:szCs w:val="24"/>
          <w:highlight w:val="none"/>
          <w:u w:val="single"/>
        </w:rPr>
        <w:t xml:space="preserve">竣工验收后30日内</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承包人提交的竣工资料形式要求：</w:t>
      </w:r>
      <w:r>
        <w:rPr>
          <w:rFonts w:hint="eastAsia" w:ascii="仿宋" w:hAnsi="仿宋" w:eastAsia="仿宋" w:cs="仿宋"/>
          <w:color w:val="auto"/>
          <w:sz w:val="24"/>
          <w:szCs w:val="24"/>
          <w:highlight w:val="none"/>
          <w:u w:val="single"/>
        </w:rPr>
        <w:t xml:space="preserve">书面形式及电子形式（均有）</w:t>
      </w:r>
      <w:r>
        <w:rPr>
          <w:rFonts w:hint="eastAsia" w:ascii="仿宋" w:hAnsi="仿宋" w:eastAsia="仿宋" w:cs="仿宋"/>
          <w:color w:val="auto"/>
          <w:sz w:val="24"/>
          <w:szCs w:val="24"/>
          <w:highlight w:val="none"/>
        </w:rPr>
        <w:t xml:space="preserve">。</w:t>
      </w:r>
      <w:r/>
    </w:p>
    <w:p>
      <w:pPr>
        <w:ind w:right="-153" w:firstLine="480"/>
        <w:keepLines w:val="0"/>
        <w:keepNext w:val="0"/>
        <w:pageBreakBefore w:val="0"/>
        <w:spacing w:line="560" w:lineRule="exact"/>
        <w:widowControl w:val="off"/>
        <w:tabs>
          <w:tab w:val="left" w:pos="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（6）承包人应履行的其他义务：</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3.2项目负责人</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3.2.1项目负责人：</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建造师执业资格等级：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建造师注册证书号：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建造师执业印章号：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安全生产考核合格证书号：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承包人对项目负责人的授权范围如下：</w:t>
      </w:r>
      <w:r>
        <w:rPr>
          <w:rFonts w:hint="eastAsia" w:ascii="仿宋" w:hAnsi="仿宋" w:eastAsia="仿宋" w:cs="仿宋"/>
          <w:color w:val="auto"/>
          <w:sz w:val="24"/>
          <w:szCs w:val="24"/>
          <w:highlight w:val="none"/>
          <w:u w:val="single"/>
        </w:rPr>
        <w:t xml:space="preserve">代表承包人行使合同约定的承包人权利和义务，履行合同约定的承包人职责</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3.2.1关于项目负责人每月在施工现场的时间要求：</w:t>
      </w:r>
      <w:r>
        <w:rPr>
          <w:rFonts w:hint="eastAsia" w:ascii="仿宋" w:hAnsi="仿宋" w:eastAsia="仿宋" w:cs="仿宋"/>
          <w:color w:val="auto"/>
          <w:sz w:val="24"/>
          <w:szCs w:val="24"/>
          <w:highlight w:val="none"/>
          <w:u w:val="single"/>
        </w:rPr>
        <w:t xml:space="preserve">投标文件中明确的项目负责人必须常驻施工现场，要求其本人每周不少于6日、每天不少于8小时在本工程现场工作</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3.2.2项目负责人未经批准，擅自离开施工现场的违约责任：</w:t>
      </w:r>
      <w:r>
        <w:rPr>
          <w:rFonts w:hint="eastAsia" w:ascii="仿宋" w:hAnsi="仿宋" w:eastAsia="仿宋" w:cs="仿宋"/>
          <w:color w:val="auto"/>
          <w:sz w:val="24"/>
          <w:szCs w:val="24"/>
          <w:highlight w:val="none"/>
          <w:u w:val="single"/>
        </w:rPr>
        <w:t xml:space="preserve">本工程的项目负责人特殊情况下需离开时必须事先征得发包人书面同意。并遵守发包方考勤、考核制度，凡考勤不在岗的（含会议前的考核点名），每次交违约金1000元</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3.2.3承包人擅自更换项目负责人的违约责任：</w:t>
      </w:r>
      <w:r>
        <w:rPr>
          <w:rFonts w:hint="eastAsia" w:ascii="仿宋" w:hAnsi="仿宋" w:eastAsia="仿宋" w:cs="仿宋"/>
          <w:color w:val="auto"/>
          <w:sz w:val="24"/>
          <w:szCs w:val="24"/>
          <w:highlight w:val="none"/>
          <w:u w:val="single"/>
        </w:rPr>
        <w:t xml:space="preserve">不得擅自变更，承包人在开工时或施工过程中除不可抗力的原因外变更项目负责人的，承包人同意向发包人支付10万元人民币的违约金，且发包人有权解除合同并向承包人追究由此带来的发包人的一切损失；如有变更，也必须执行规定的变更程序。</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3.2.4承包人无正当理由拒绝更换项目负责人的违约责任：</w:t>
      </w:r>
      <w:r>
        <w:rPr>
          <w:rFonts w:hint="eastAsia" w:ascii="仿宋" w:hAnsi="仿宋" w:eastAsia="仿宋" w:cs="仿宋"/>
          <w:color w:val="auto"/>
          <w:sz w:val="24"/>
          <w:szCs w:val="24"/>
          <w:highlight w:val="none"/>
          <w:u w:val="single"/>
        </w:rPr>
        <w:t xml:space="preserve">承担每次10万元的违约金。经发包人通知承包人仍不整改的，发包人有权解除合同。</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3.3承包人人员</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3.3.3承包人无正当理由拒绝撤换主要施工管理人员的违约责任：</w:t>
      </w:r>
      <w:r>
        <w:rPr>
          <w:rFonts w:hint="eastAsia" w:ascii="仿宋" w:hAnsi="仿宋" w:eastAsia="仿宋" w:cs="仿宋"/>
          <w:color w:val="auto"/>
          <w:sz w:val="24"/>
          <w:szCs w:val="24"/>
          <w:highlight w:val="none"/>
          <w:u w:val="single"/>
        </w:rPr>
        <w:t xml:space="preserve">承包人主要施工管理人员不称职造成工程质量、安全管理、进度管理、文明管理明显无法达到原定计划标准时，发包人有权要求承包人在7日内撤换或调整其认为不称职的主要施工管理人员，承包人无正当理由拒绝撤换该主要施工管理人员的，自承包人接</w:t>
      </w:r>
      <w:r>
        <w:rPr>
          <w:rFonts w:hint="eastAsia" w:ascii="仿宋" w:hAnsi="仿宋" w:eastAsia="仿宋" w:cs="仿宋"/>
          <w:color w:val="auto"/>
          <w:sz w:val="24"/>
          <w:szCs w:val="24"/>
          <w:highlight w:val="none"/>
          <w:u w:val="single"/>
          <w:lang w:eastAsia="zh-CN"/>
        </w:rPr>
        <w:t xml:space="preserve">收到</w:t>
      </w:r>
      <w:r>
        <w:rPr>
          <w:rFonts w:hint="eastAsia" w:ascii="仿宋" w:hAnsi="仿宋" w:eastAsia="仿宋" w:cs="仿宋"/>
          <w:color w:val="auto"/>
          <w:sz w:val="24"/>
          <w:szCs w:val="24"/>
          <w:highlight w:val="none"/>
          <w:u w:val="single"/>
        </w:rPr>
        <w:t xml:space="preserve">发包人书面通知之日起，每延迟更换一天，应当向发包人支付5000元/人的违约金，直至将主要施工管理人员按照招标文件及本合同要求的称职人员之日止。承包人无正当理由拒绝更换的，发包人有权终止合同，并追究由此给发包人造成的一切损失。</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3.3.4承包人主要施工管理人员离开施工现场的批准要求：</w:t>
      </w:r>
      <w:r>
        <w:rPr>
          <w:rFonts w:hint="eastAsia" w:ascii="仿宋" w:hAnsi="仿宋" w:eastAsia="仿宋" w:cs="仿宋"/>
          <w:color w:val="auto"/>
          <w:sz w:val="24"/>
          <w:szCs w:val="24"/>
          <w:highlight w:val="none"/>
          <w:u w:val="single"/>
        </w:rPr>
        <w:t xml:space="preserve">由发包人和总监理工程师书面批准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3.3.5承包人擅自更换主要施工管理人员的违约责任：</w:t>
      </w:r>
      <w:r>
        <w:rPr>
          <w:rFonts w:hint="eastAsia" w:ascii="仿宋" w:hAnsi="仿宋" w:eastAsia="仿宋" w:cs="仿宋"/>
          <w:color w:val="auto"/>
          <w:sz w:val="24"/>
          <w:szCs w:val="24"/>
          <w:highlight w:val="none"/>
          <w:u w:val="single"/>
        </w:rPr>
        <w:t xml:space="preserve">承包人擅自更换主要施工管理人员，承包人应当向发包人支付5000元/人的违约金。</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3.5分包</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3.5.1 分包的一般约定</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禁止分包的工程包括：</w:t>
      </w:r>
      <w:r>
        <w:rPr>
          <w:rFonts w:hint="eastAsia" w:ascii="仿宋" w:hAnsi="仿宋" w:eastAsia="仿宋" w:cs="仿宋"/>
          <w:color w:val="auto"/>
          <w:sz w:val="24"/>
          <w:szCs w:val="24"/>
          <w:highlight w:val="none"/>
          <w:u w:val="single"/>
        </w:rPr>
        <w:t xml:space="preserve">承包人不得擅自将本合同范围内工作的任何一部分转让与分包，禁止违法转让与分包</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主体结构、关键性工作的范围：</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3.5.2分包的确定</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允许分包的专业工程包括：</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其他关于分包的约定：</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承包人按投标文件承诺或经发包人书面批准同意的分包计划进行分包，并对分包人的工作负全部责任。接受分包的公司应当具备相应资质及专业能力，如不能胜任相应的分包任务，发包人有权以书面形式提出更换要求，承包人应在收到发包人的书面通知7天内给予答复，并承担因更换分包人造成的实际损失和费用。</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（2）在项目实施过程中，如有非主体结构、非关键性工作等分包工作，在分包前承包人必须报发包人书面批准同意后实施。</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（3）如因专业性很强，在项目实施过程中，若发包人认为承包人不能胜任该工作时，可要求承包人将该工作分包，承包人应当选择具备相应资质及专业能力的分包人，并报经发包人书面批准同意后实施。</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（4）承包人必须就分包工程与分包人签订合同，并报发包人处备案，承包人应向发包人和监理人提交分包合同副本。</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（5）如承包人将本合同项目转让，或未经发包人书面同意擅自将本合同项目任何部分分包出去，发包人有权单方解除合同，且不支付该分包工作量的费用，并按合同价款的30%扣除承包人的违约金。</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（6）如有违反以上规定，承包人应支付5万元/次的违约金。</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3.5.4分包合同价款</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关于分包合同价款支付的约定：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3.6工程照管与成品、半成品保护</w:t>
      </w:r>
      <w:r/>
    </w:p>
    <w:p>
      <w:pPr>
        <w:ind w:firstLine="480"/>
        <w:keepLines w:val="0"/>
        <w:keepNext w:val="0"/>
        <w:pageBreakBefore w:val="0"/>
        <w:spacing w:line="560" w:lineRule="exact"/>
        <w:widowControl w:val="off"/>
        <w:tabs>
          <w:tab w:val="left" w:pos="0" w:leader="none"/>
          <w:tab w:val="left" w:pos="993" w:leader="none"/>
          <w:tab w:val="left" w:pos="113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承包人负责照管工程及工程相关的材料、工程设备的起始时间：按通用条款执行。</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3.7履约担保</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承包人是否提供履约担保：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否</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before="120" w:after="120" w:line="560" w:lineRule="exact"/>
        <w:widowControl w:val="off"/>
        <w:rPr>
          <w:rFonts w:hint="eastAsia" w:ascii="仿宋" w:hAnsi="仿宋" w:eastAsia="仿宋" w:cs="仿宋"/>
          <w:color w:val="auto"/>
          <w:sz w:val="24"/>
          <w:szCs w:val="24"/>
          <w:highlight w:val="none"/>
        </w:rPr>
        <w:outlineLvl w:val="3"/>
      </w:pPr>
      <w:r/>
      <w:bookmarkStart w:id="407" w:name="_Toc96"/>
      <w:r>
        <w:rPr>
          <w:rFonts w:hint="eastAsia" w:ascii="仿宋" w:hAnsi="仿宋" w:eastAsia="仿宋" w:cs="仿宋"/>
          <w:color w:val="auto"/>
          <w:sz w:val="24"/>
          <w:szCs w:val="24"/>
          <w:highlight w:val="none"/>
        </w:rPr>
        <w:t xml:space="preserve">4. 监理人</w:t>
      </w:r>
      <w:bookmarkEnd w:id="407"/>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4.1监理人的一般规定</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关于监理人的监理内容：</w:t>
      </w:r>
      <w:r>
        <w:rPr>
          <w:rFonts w:hint="eastAsia" w:ascii="仿宋" w:hAnsi="仿宋" w:eastAsia="仿宋" w:cs="仿宋"/>
          <w:color w:val="auto"/>
          <w:sz w:val="24"/>
          <w:szCs w:val="24"/>
          <w:highlight w:val="none"/>
          <w:u w:val="single"/>
        </w:rPr>
        <w:t xml:space="preserve">施工及工程保修阶段工程质量、进度、造价控制；信息、合同管理；安全监督；现场协调、工程资料管理</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关于监理人的监理权限：</w:t>
      </w:r>
      <w:r>
        <w:rPr>
          <w:rFonts w:hint="eastAsia" w:ascii="仿宋" w:hAnsi="仿宋" w:eastAsia="仿宋" w:cs="仿宋"/>
          <w:color w:val="auto"/>
          <w:sz w:val="24"/>
          <w:szCs w:val="24"/>
          <w:highlight w:val="none"/>
          <w:u w:val="single"/>
        </w:rPr>
        <w:t xml:space="preserve">详见监理合同</w:t>
      </w:r>
      <w:r>
        <w:rPr>
          <w:rFonts w:hint="eastAsia" w:ascii="仿宋" w:hAnsi="仿宋" w:eastAsia="仿宋" w:cs="仿宋"/>
          <w:color w:val="auto"/>
          <w:sz w:val="24"/>
          <w:szCs w:val="24"/>
          <w:highlight w:val="none"/>
        </w:rPr>
        <w:t xml:space="preserve">。 </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关于监理人在施工现场的办公场所、生活场所的提供和费用承担的约定：</w:t>
      </w:r>
      <w:r>
        <w:rPr>
          <w:rFonts w:hint="eastAsia" w:ascii="仿宋" w:hAnsi="仿宋" w:eastAsia="仿宋" w:cs="仿宋"/>
          <w:color w:val="auto"/>
          <w:sz w:val="24"/>
          <w:szCs w:val="24"/>
          <w:highlight w:val="none"/>
          <w:u w:val="single"/>
        </w:rPr>
        <w:t xml:space="preserve">详见监理合同</w:t>
      </w:r>
      <w:r>
        <w:rPr>
          <w:rFonts w:hint="eastAsia" w:ascii="仿宋" w:hAnsi="仿宋" w:eastAsia="仿宋" w:cs="仿宋"/>
          <w:color w:val="auto"/>
          <w:sz w:val="24"/>
          <w:szCs w:val="24"/>
          <w:highlight w:val="none"/>
        </w:rPr>
        <w:t xml:space="preserve">。</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4.2监理人员</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总监理工程师：</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监理工程师执业资格证书号：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关于监理人的其他约定：</w:t>
      </w:r>
      <w:r>
        <w:rPr>
          <w:rFonts w:hint="eastAsia" w:ascii="仿宋" w:hAnsi="仿宋" w:eastAsia="仿宋" w:cs="仿宋"/>
          <w:color w:val="auto"/>
          <w:sz w:val="24"/>
          <w:szCs w:val="24"/>
          <w:highlight w:val="none"/>
          <w:u w:val="single"/>
        </w:rPr>
        <w:t xml:space="preserve">详见监理合同</w:t>
      </w:r>
      <w:r>
        <w:rPr>
          <w:rFonts w:hint="eastAsia" w:ascii="仿宋" w:hAnsi="仿宋" w:eastAsia="仿宋" w:cs="仿宋"/>
          <w:color w:val="auto"/>
          <w:sz w:val="24"/>
          <w:szCs w:val="24"/>
          <w:highlight w:val="none"/>
        </w:rPr>
        <w:t xml:space="preserve">。</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4.4商定或确定</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在发包人和承包人不能通过协商达成一致意见时，发包人授权监理人对以下事项进行确定：</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  按通用条款执行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按通用条款执行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  按通用条款执行  </w:t>
      </w:r>
      <w:r>
        <w:rPr>
          <w:rFonts w:hint="eastAsia" w:ascii="仿宋" w:hAnsi="仿宋" w:eastAsia="仿宋" w:cs="仿宋"/>
          <w:color w:val="auto"/>
          <w:sz w:val="24"/>
          <w:szCs w:val="24"/>
          <w:highlight w:val="none"/>
        </w:rPr>
        <w:t xml:space="preserve">。</w:t>
      </w:r>
      <w:r/>
    </w:p>
    <w:p>
      <w:pPr>
        <w:ind w:firstLine="480"/>
        <w:keepLines w:val="0"/>
        <w:keepNext w:val="0"/>
        <w:pageBreakBefore w:val="0"/>
        <w:spacing w:before="120" w:after="120" w:line="560" w:lineRule="exact"/>
        <w:widowControl w:val="off"/>
        <w:rPr>
          <w:rFonts w:hint="eastAsia" w:ascii="仿宋" w:hAnsi="仿宋" w:eastAsia="仿宋" w:cs="仿宋"/>
          <w:color w:val="auto"/>
          <w:sz w:val="24"/>
          <w:szCs w:val="24"/>
          <w:highlight w:val="none"/>
        </w:rPr>
        <w:outlineLvl w:val="3"/>
      </w:pPr>
      <w:r/>
      <w:bookmarkStart w:id="408" w:name="_Toc97"/>
      <w:r>
        <w:rPr>
          <w:rFonts w:hint="eastAsia" w:ascii="仿宋" w:hAnsi="仿宋" w:eastAsia="仿宋" w:cs="仿宋"/>
          <w:color w:val="auto"/>
          <w:sz w:val="24"/>
          <w:szCs w:val="24"/>
          <w:highlight w:val="none"/>
        </w:rPr>
        <w:t xml:space="preserve">5.工程质量</w:t>
      </w:r>
      <w:bookmarkEnd w:id="408"/>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5.1质量要求</w:t>
      </w:r>
      <w:r/>
    </w:p>
    <w:p>
      <w:pPr>
        <w:ind w:firstLine="480"/>
        <w:keepLines w:val="0"/>
        <w:keepNext w:val="0"/>
        <w:pageBreakBefore w:val="0"/>
        <w:spacing w:line="560" w:lineRule="exact"/>
        <w:widowControl w:val="off"/>
        <w:tabs>
          <w:tab w:val="left" w:pos="0" w:leader="none"/>
          <w:tab w:val="left" w:pos="993"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5.1.1特殊质量标准和要求：</w:t>
      </w:r>
      <w:r>
        <w:rPr>
          <w:rFonts w:hint="eastAsia" w:ascii="仿宋" w:hAnsi="仿宋" w:eastAsia="仿宋" w:cs="仿宋"/>
          <w:color w:val="auto"/>
          <w:sz w:val="24"/>
          <w:szCs w:val="24"/>
          <w:highlight w:val="none"/>
          <w:u w:val="single"/>
        </w:rPr>
        <w:t xml:space="preserve">1、符合现行国家有关验收标准，并达到招标要求的质量等级标准。2、材料质量要求：符合国际现行的产品标准规定，并附有出厂合格证明，严禁使用不合格和过期材料和附件。无</w:t>
      </w:r>
      <w:r>
        <w:rPr>
          <w:rFonts w:hint="eastAsia" w:ascii="仿宋" w:hAnsi="仿宋" w:eastAsia="仿宋" w:cs="仿宋"/>
          <w:color w:val="auto"/>
          <w:sz w:val="24"/>
          <w:szCs w:val="24"/>
          <w:highlight w:val="none"/>
          <w:u w:val="single"/>
        </w:rPr>
        <w:t xml:space="preserve">论总监理工程师是否进行并通过了各项检验，均不解除承包人对自己承包的工程的质量所负责任，除非质量问题是由于设计原因引起，而此类质量问题承包人须及时通知总监理工程师。无论工程材料是由承包人自行供应或是由发包人指定的供应商供应，均不解除承包人所负的工程全面质量的责任，承包人应该对各种材料按规范进行检查，拒绝不符合要求的材料用于工程。由于承包人的原因，出现不合格材料用于工程的情况，由承包人承担应有的责任。3、招标文件和有关规范规定的各种材料检验、工艺试验等必须按规定实施，由承包人提供法定检测机构出具的试验合格证书。</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5.3隐蔽工程检查</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5.3.2承包人提前通知监理人隐蔽工程检查的期限的约定：</w:t>
      </w:r>
      <w:r>
        <w:rPr>
          <w:rFonts w:hint="eastAsia" w:ascii="仿宋" w:hAnsi="仿宋" w:eastAsia="仿宋" w:cs="仿宋"/>
          <w:color w:val="auto"/>
          <w:sz w:val="24"/>
          <w:szCs w:val="24"/>
          <w:highlight w:val="none"/>
          <w:u w:val="single"/>
        </w:rPr>
        <w:t xml:space="preserve">施工前2日</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监理人不能按时进行检查时，应提前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小时提交书面延期要求。</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w:t>
      </w:r>
      <w:r/>
    </w:p>
    <w:p>
      <w:pPr>
        <w:ind w:firstLine="480"/>
        <w:keepLines w:val="0"/>
        <w:keepNext w:val="0"/>
        <w:pageBreakBefore w:val="0"/>
        <w:spacing w:before="120" w:after="120" w:line="560" w:lineRule="exact"/>
        <w:widowControl w:val="off"/>
        <w:rPr>
          <w:rFonts w:hint="eastAsia" w:ascii="仿宋" w:hAnsi="仿宋" w:eastAsia="仿宋" w:cs="仿宋"/>
          <w:color w:val="auto"/>
          <w:sz w:val="24"/>
          <w:szCs w:val="24"/>
          <w:highlight w:val="none"/>
        </w:rPr>
        <w:outlineLvl w:val="3"/>
      </w:pPr>
      <w:r/>
      <w:bookmarkStart w:id="409" w:name="_Toc98"/>
      <w:r>
        <w:rPr>
          <w:rFonts w:hint="eastAsia" w:ascii="仿宋" w:hAnsi="仿宋" w:eastAsia="仿宋" w:cs="仿宋"/>
          <w:color w:val="auto"/>
          <w:sz w:val="24"/>
          <w:szCs w:val="24"/>
          <w:highlight w:val="none"/>
        </w:rPr>
        <w:t xml:space="preserve">6.安全文明施工与环境保护</w:t>
      </w:r>
      <w:bookmarkEnd w:id="409"/>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6.1安全文明施工</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6.1.1项目安全生产的达标目标及相应事项的约定：</w:t>
      </w:r>
      <w:r>
        <w:rPr>
          <w:rFonts w:hint="eastAsia" w:ascii="仿宋" w:hAnsi="仿宋" w:eastAsia="仿宋" w:cs="仿宋"/>
          <w:color w:val="auto"/>
          <w:sz w:val="24"/>
          <w:szCs w:val="24"/>
          <w:highlight w:val="none"/>
          <w:u w:val="single"/>
        </w:rPr>
        <w:t xml:space="preserve">1、进入施工现场的各类安全防护由承包人统一协调管理，安全责任由承包人承担，费用含在投标报价中；2、承包人负责进入施工现场施工人员及财物安全，发生任何伤亡事故与发包人无关，承包人自行解决；3、承包人应合理安排、安全使用水、电设施，否则引起的一切责任</w:t>
      </w:r>
      <w:r>
        <w:rPr>
          <w:rFonts w:hint="eastAsia" w:ascii="仿宋" w:hAnsi="仿宋" w:eastAsia="仿宋" w:cs="仿宋"/>
          <w:color w:val="auto"/>
          <w:sz w:val="24"/>
          <w:szCs w:val="24"/>
          <w:highlight w:val="none"/>
          <w:u w:val="single"/>
        </w:rPr>
        <w:t xml:space="preserve">由承包人承担。承包人应负责保管水、电设施，若发生丢失或损坏，由承包人赔偿。4、严格执行《中华人民共和国安全生产法》、《建设工程安全生产管理条例》（国务院第393号令）等相关法律法规、双方签订的《安全施工协议》。承包人在施工现场的安全管理、安全教育和安全事故责任及所发生的费用均由承包方承担。由承包人按规范施工并对安全生产负全责，除执行通用条款的相关规定外，承包人应严格按照施工组织设计组织施工，在安全管理方面除正常进行安全学习，安全教育外，同时应高度重视全部施工期间的安全工作，安全措施要落实到位，应急措施要跟上</w:t>
      </w:r>
      <w:r>
        <w:rPr>
          <w:rFonts w:hint="eastAsia" w:ascii="仿宋" w:hAnsi="仿宋" w:eastAsia="仿宋" w:cs="仿宋"/>
          <w:color w:val="auto"/>
          <w:sz w:val="24"/>
          <w:szCs w:val="24"/>
          <w:highlight w:val="none"/>
          <w:u w:val="single"/>
        </w:rPr>
        <w:t xml:space="preserve">，并配备专职安全人员，全面负责施工现场的安全及周边设施的安全和第三方人身安全，并承担所有责任及相应的赔偿费用。5、承包人应当遵守工程建设安全生产有关管理规定，严格按安全标准组织施工，并随时接受发包人及行业安全检查人员依法实施的监督检查，采取必要的安全防护措施，消除事故隐患，安全防护费用已含在合同价款内。承包人在施工现场的安全管理、教育和安全事故责任由承包方承担。在承包人施工范围内发生或因承包人施工活动有关的安全事故由承包人负责处理并承担责任。6、承包人应合理安全使用水、电设施，否则引起的一切责任由承包人承担</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6.1.4关于治安保卫的特别约定：</w:t>
      </w:r>
      <w:r>
        <w:rPr>
          <w:rFonts w:hint="eastAsia" w:ascii="仿宋" w:hAnsi="仿宋" w:eastAsia="仿宋" w:cs="仿宋"/>
          <w:color w:val="auto"/>
          <w:sz w:val="24"/>
          <w:szCs w:val="24"/>
          <w:highlight w:val="none"/>
          <w:u w:val="single"/>
        </w:rPr>
        <w:t xml:space="preserve">满足发包人、城管、卫生防疫、环保及有关部门的相关要求。</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关于编制施工场地治安管理计划的约定：</w:t>
      </w:r>
      <w:r>
        <w:rPr>
          <w:rFonts w:hint="eastAsia" w:ascii="仿宋" w:hAnsi="仿宋" w:eastAsia="仿宋" w:cs="仿宋"/>
          <w:color w:val="auto"/>
          <w:sz w:val="24"/>
          <w:szCs w:val="24"/>
          <w:highlight w:val="none"/>
          <w:u w:val="single"/>
        </w:rPr>
        <w:t xml:space="preserve">另行协商</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6.1.5文明施工</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合同当事人对文明施工的要求：</w:t>
      </w:r>
      <w:r>
        <w:rPr>
          <w:rFonts w:hint="eastAsia" w:ascii="仿宋" w:hAnsi="仿宋" w:eastAsia="仿宋" w:cs="仿宋"/>
          <w:color w:val="auto"/>
          <w:sz w:val="24"/>
          <w:szCs w:val="24"/>
          <w:highlight w:val="none"/>
          <w:u w:val="single"/>
        </w:rPr>
        <w:t xml:space="preserve">合同当事人对文明施工的要求：一、施工安全：⑴承包人报请监理工程师和发包人代表审批的施工组织设计中应有安全施工方案，要有安全施工管理系统，配备安全管理人员负责工程、车辆机械和施工人员的安全工作，将施工安全落到实处。⑵承包人要认真做好车辆机械的保养维护工作和驾驶操作人员的安全教育工作，车辆机械不得带病作业，不得违规操作，杜绝机械和车辆事故。二、施工噪音 ：工程施工期间，噪声对环境的影响必须满足国家和宿迁市有关法规要求。施工噪声遵守</w:t>
      </w:r>
      <w:r>
        <w:rPr>
          <w:rFonts w:hint="eastAsia" w:ascii="仿宋" w:hAnsi="仿宋" w:eastAsia="仿宋" w:cs="仿宋"/>
          <w:color w:val="auto"/>
          <w:sz w:val="24"/>
          <w:szCs w:val="24"/>
          <w:highlight w:val="none"/>
          <w:u w:val="single"/>
          <w:lang w:eastAsia="zh-CN"/>
        </w:rPr>
        <w:t xml:space="preserve">《建筑施工噪声排放标准》</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GB12523-2025</w:t>
      </w:r>
      <w:r>
        <w:rPr>
          <w:rFonts w:hint="eastAsia" w:ascii="仿宋" w:hAnsi="仿宋" w:eastAsia="仿宋" w:cs="仿宋"/>
          <w:color w:val="auto"/>
          <w:sz w:val="24"/>
          <w:szCs w:val="24"/>
          <w:highlight w:val="none"/>
          <w:u w:val="single"/>
        </w:rPr>
        <w:t xml:space="preserve">）。在选择施工设备及施工方法时，承包人必须考虑由此产生的噪声标准及对施工人员和周围单位和居民的影响。在工程施工过程中，若发生施工噪声超标扰民事件，由承包人负责解决，发包人予以配合。三、夜间施工：承包人应按宿迁市有关规定要求办理夜间施工许可证。施工单位应充分考虑中考、高考、节假日及城市有关部门重大活动等期间限制夜间施工而对工期造成的影响，由于施工可能对周围居民、企事业等单位造成影响，可能由此而引发各种争议，这些争议应由承包人负责协调，相关费用由承包人承担，发包人尽可能予以协助。</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6.1.6关于安全文明施工费支付比例和支付期限的约定：</w:t>
      </w:r>
      <w:r>
        <w:rPr>
          <w:rFonts w:hint="eastAsia" w:ascii="仿宋" w:hAnsi="仿宋" w:eastAsia="仿宋" w:cs="仿宋"/>
          <w:color w:val="auto"/>
          <w:sz w:val="24"/>
          <w:szCs w:val="24"/>
          <w:highlight w:val="none"/>
          <w:u w:val="single"/>
        </w:rPr>
        <w:t xml:space="preserve">按照合同约定的付款方式执行。</w:t>
      </w:r>
      <w:r/>
    </w:p>
    <w:p>
      <w:pPr>
        <w:ind w:firstLine="480"/>
        <w:keepLines w:val="0"/>
        <w:keepNext w:val="0"/>
        <w:pageBreakBefore w:val="0"/>
        <w:spacing w:before="120" w:after="120" w:line="560" w:lineRule="exact"/>
        <w:widowControl w:val="off"/>
        <w:rPr>
          <w:rFonts w:hint="eastAsia" w:ascii="仿宋" w:hAnsi="仿宋" w:eastAsia="仿宋" w:cs="仿宋"/>
          <w:color w:val="auto"/>
          <w:sz w:val="24"/>
          <w:szCs w:val="24"/>
          <w:highlight w:val="none"/>
        </w:rPr>
        <w:outlineLvl w:val="3"/>
      </w:pPr>
      <w:r/>
      <w:bookmarkStart w:id="410" w:name="_Toc99"/>
      <w:r>
        <w:rPr>
          <w:rFonts w:hint="eastAsia" w:ascii="仿宋" w:hAnsi="仿宋" w:eastAsia="仿宋" w:cs="仿宋"/>
          <w:color w:val="auto"/>
          <w:sz w:val="24"/>
          <w:szCs w:val="24"/>
          <w:highlight w:val="none"/>
        </w:rPr>
        <w:t xml:space="preserve">7.工期和进度</w:t>
      </w:r>
      <w:bookmarkEnd w:id="410"/>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7.1施工组织设计</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7.1.1合同当事人约定的施工组织设计应包括的其他内容：</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7.1.2施工组织设计的提交和修改</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承包人提交详细施工组织设计的期限的约定：</w:t>
      </w:r>
      <w:r>
        <w:rPr>
          <w:rFonts w:hint="eastAsia" w:ascii="仿宋" w:hAnsi="仿宋" w:eastAsia="仿宋" w:cs="仿宋"/>
          <w:color w:val="auto"/>
          <w:sz w:val="24"/>
          <w:szCs w:val="24"/>
          <w:highlight w:val="none"/>
          <w:u w:val="single"/>
        </w:rPr>
        <w:t xml:space="preserve">承包人在中标公示结束后7日内，向监理人提交4份其格式和内容符合监理工程师要求规定的主体工程组织设计，对于工程的关键部位和环节，于施工7日前按监理工程师要求提交专项施工方案，以备审查批准</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发包人和监理人在收到详细的施工组织设计后确认或提出修改意见的期限：</w:t>
      </w:r>
      <w:r>
        <w:rPr>
          <w:rFonts w:hint="eastAsia" w:ascii="仿宋" w:hAnsi="仿宋" w:eastAsia="仿宋" w:cs="仿宋"/>
          <w:color w:val="auto"/>
          <w:sz w:val="24"/>
          <w:szCs w:val="24"/>
          <w:highlight w:val="none"/>
          <w:u w:val="single"/>
        </w:rPr>
        <w:t xml:space="preserve"> 收到资料后7天内</w:t>
      </w:r>
      <w:r>
        <w:rPr>
          <w:rFonts w:hint="eastAsia" w:ascii="仿宋" w:hAnsi="仿宋" w:eastAsia="仿宋" w:cs="仿宋"/>
          <w:color w:val="auto"/>
          <w:sz w:val="24"/>
          <w:szCs w:val="24"/>
          <w:highlight w:val="none"/>
        </w:rPr>
        <w:t xml:space="preserve">。</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7.2施工进度计划</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7.2.2施工进度计划的修订</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发包人和监理人在收到修订的施工进度计划后确认或提出修改意见的期限：</w:t>
      </w:r>
      <w:r>
        <w:rPr>
          <w:rFonts w:hint="eastAsia" w:ascii="仿宋" w:hAnsi="仿宋" w:eastAsia="仿宋" w:cs="仿宋"/>
          <w:color w:val="auto"/>
          <w:sz w:val="24"/>
          <w:szCs w:val="24"/>
          <w:highlight w:val="none"/>
          <w:u w:val="single"/>
        </w:rPr>
        <w:t xml:space="preserve">开工前3天</w:t>
      </w:r>
      <w:r>
        <w:rPr>
          <w:rFonts w:hint="eastAsia" w:ascii="仿宋" w:hAnsi="仿宋" w:eastAsia="仿宋" w:cs="仿宋"/>
          <w:color w:val="auto"/>
          <w:sz w:val="24"/>
          <w:szCs w:val="24"/>
          <w:highlight w:val="none"/>
        </w:rPr>
        <w:t xml:space="preserve">。</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7.3开工</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7.3.1开工准备</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关于承包人提交工程开工报审表的期限：</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关于发包人应完成的其他开工准备工作及期限：</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关于承包人应完成的其他开工准备工作及期限：</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7.3.2开工通知</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因发包人原因造成监理人未能在计划开工日期之日起</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天内发出开工通知的，承包人有权提出价格调整要求，或者解除合同。</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7.4测量放线</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7.4.1发包人通过监理人向承包人提供测量基准点、基准线和水准点及其书面资料的期限：</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7.5工期延误</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7.5.1因发包人原因导致工期延误</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（7）因发包人原因导致工期延误的其他情形：</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7.5.2因承包人原因导致工期延误</w:t>
      </w:r>
      <w:r/>
    </w:p>
    <w:p>
      <w:pPr>
        <w:ind w:firstLine="480"/>
        <w:keepLines w:val="0"/>
        <w:keepNext w:val="0"/>
        <w:pageBreakBefore w:val="0"/>
        <w:spacing w:line="560" w:lineRule="exact"/>
        <w:shd w:val="clear" w:color="auto" w:fill="ffffff"/>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因承包人原因造成工期延误，逾期竣工违约金的计算方法为：</w:t>
      </w:r>
      <w:r>
        <w:rPr>
          <w:rFonts w:hint="eastAsia" w:ascii="仿宋" w:hAnsi="仿宋" w:eastAsia="仿宋" w:cs="仿宋"/>
          <w:color w:val="auto"/>
          <w:sz w:val="24"/>
          <w:szCs w:val="24"/>
          <w:highlight w:val="none"/>
          <w:u w:val="single"/>
        </w:rPr>
        <w:t xml:space="preserve">未按照施工过程中约定的节点或目标工期完成的，承包人向发包人支付违约金</w:t>
      </w:r>
      <w:r>
        <w:rPr>
          <w:rFonts w:hint="eastAsia" w:ascii="仿宋" w:hAnsi="仿宋" w:eastAsia="仿宋" w:cs="仿宋"/>
          <w:color w:val="auto"/>
          <w:sz w:val="24"/>
          <w:szCs w:val="24"/>
          <w:highlight w:val="none"/>
          <w:u w:val="single"/>
          <w:lang w:val="en-US" w:eastAsia="zh-CN"/>
        </w:rPr>
        <w:t xml:space="preserve">20</w:t>
      </w:r>
      <w:r>
        <w:rPr>
          <w:rFonts w:hint="eastAsia" w:ascii="仿宋" w:hAnsi="仿宋" w:eastAsia="仿宋" w:cs="仿宋"/>
          <w:color w:val="auto"/>
          <w:sz w:val="24"/>
          <w:szCs w:val="24"/>
          <w:highlight w:val="none"/>
          <w:u w:val="single"/>
        </w:rPr>
        <w:t xml:space="preserve">000元/天。现场例会制定的并经参会人员认可的节点，若到达节点未完成，按10000元/天承担违约金，超三天未完成，发包人有权终止合同，另行委托第三方施工至完成，所有费用由承包人承担。</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因承包人原因造成工期延误，逾期竣工违约金的上限：</w:t>
      </w:r>
      <w:r>
        <w:rPr>
          <w:rFonts w:hint="eastAsia" w:ascii="仿宋" w:hAnsi="仿宋" w:eastAsia="仿宋" w:cs="仿宋"/>
          <w:color w:val="auto"/>
          <w:sz w:val="24"/>
          <w:szCs w:val="24"/>
          <w:highlight w:val="none"/>
          <w:u w:val="single"/>
        </w:rPr>
        <w:t xml:space="preserve">逾期竣工违约金限额为合同价款的20%,同时发包人有权终止合同，另行委托第三方施工至完成，所有费用由承包人承担</w:t>
      </w:r>
      <w:r>
        <w:rPr>
          <w:rFonts w:hint="eastAsia" w:ascii="仿宋" w:hAnsi="仿宋" w:eastAsia="仿宋" w:cs="仿宋"/>
          <w:color w:val="auto"/>
          <w:sz w:val="24"/>
          <w:szCs w:val="24"/>
          <w:highlight w:val="none"/>
        </w:rPr>
        <w:t xml:space="preserve">。</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7.6不利物质条件</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不利物质条件的其他情形和有关约定：</w:t>
      </w:r>
      <w:r>
        <w:rPr>
          <w:rFonts w:hint="eastAsia" w:ascii="仿宋" w:hAnsi="仿宋" w:eastAsia="仿宋" w:cs="仿宋"/>
          <w:color w:val="auto"/>
          <w:sz w:val="24"/>
          <w:szCs w:val="24"/>
          <w:highlight w:val="none"/>
          <w:u w:val="single"/>
        </w:rPr>
        <w:t xml:space="preserve"> 按通用条款执行</w:t>
      </w:r>
      <w:r>
        <w:rPr>
          <w:rFonts w:hint="eastAsia" w:ascii="仿宋" w:hAnsi="仿宋" w:eastAsia="仿宋" w:cs="仿宋"/>
          <w:color w:val="auto"/>
          <w:sz w:val="24"/>
          <w:szCs w:val="24"/>
          <w:highlight w:val="none"/>
        </w:rPr>
        <w:t xml:space="preserve">。</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7.7异常恶劣的气候条件</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发包人和承包人同意以下情形视为异常恶劣的气候条件：</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shd w:val="clear" w:color="auto" w:fill="ffffff"/>
        </w:rPr>
        <w:t xml:space="preserve">风力达到或超过8级的天气现象；</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shd w:val="clear" w:color="auto" w:fill="ffffff"/>
        </w:rPr>
        <w:t xml:space="preserve">日降水量大于80mm且降水持续三日的天气现象</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shd w:val="clear" w:color="auto" w:fill="ffffff"/>
        </w:rPr>
        <w:t xml:space="preserve">日降雪量大于10mm且降雪持续三日的天气现象</w:t>
      </w:r>
      <w:r>
        <w:rPr>
          <w:rFonts w:hint="eastAsia" w:ascii="仿宋" w:hAnsi="仿宋" w:eastAsia="仿宋" w:cs="仿宋"/>
          <w:color w:val="auto"/>
          <w:sz w:val="24"/>
          <w:szCs w:val="24"/>
          <w:highlight w:val="none"/>
          <w:shd w:val="clear" w:color="auto" w:fill="ffffff"/>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u w:val="single"/>
          <w:shd w:val="clear" w:color="auto" w:fill="ffffff"/>
        </w:rPr>
        <w:t xml:space="preserve">地震震级达到5级及以上的自然现象等</w:t>
      </w:r>
      <w:r>
        <w:rPr>
          <w:rFonts w:hint="eastAsia" w:ascii="仿宋" w:hAnsi="仿宋" w:eastAsia="仿宋" w:cs="仿宋"/>
          <w:color w:val="auto"/>
          <w:sz w:val="24"/>
          <w:szCs w:val="24"/>
          <w:highlight w:val="none"/>
          <w:shd w:val="clear" w:color="auto" w:fill="ffffff"/>
        </w:rPr>
        <w:t xml:space="preserve">；</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是否发生上述4项气候条件情形，以宿迁市市级权威部门发布的最新资料为准。</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7.9提前竣工的奖励</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7.9.2提前竣工的奖励：</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numPr>
          <w:ilvl w:val="0"/>
          <w:numId w:val="0"/>
        </w:numPr>
        <w:ind w:firstLine="480"/>
        <w:keepLines w:val="0"/>
        <w:keepNext w:val="0"/>
        <w:pageBreakBefore w:val="0"/>
        <w:spacing w:before="120" w:after="120" w:line="560" w:lineRule="exact"/>
        <w:widowControl w:val="off"/>
        <w:rPr>
          <w:rFonts w:hint="eastAsia" w:ascii="仿宋" w:hAnsi="仿宋" w:eastAsia="仿宋" w:cs="仿宋"/>
          <w:color w:val="auto"/>
          <w:sz w:val="24"/>
          <w:szCs w:val="24"/>
          <w:highlight w:val="none"/>
        </w:rPr>
        <w:outlineLvl w:val="3"/>
      </w:pPr>
      <w:r/>
      <w:bookmarkStart w:id="411" w:name="_Toc100"/>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材料与设备</w:t>
      </w:r>
      <w:bookmarkEnd w:id="411"/>
      <w:r/>
      <w:r/>
    </w:p>
    <w:p>
      <w:pPr>
        <w:ind w:firstLine="480"/>
        <w:jc w:val="left"/>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8.2承包人采购材料与工程设备</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本工程所需材料和设备，均由承包人提供。对承包人提供的材料和设备，承包人应会同发包人进行检验和交货验收，查验材料合格证明和产品合格证书，发包人要求提供样品的应保证进场材料设备与样品一致。承包人按合同约定和发包人指示，进行材料的抽样检验和设备的检验测试，检验和测试结果应提交发包人，所需费用由承包人承担。</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8.4材料与工程设备的保管与使用</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8.4.1发包人供应的材料设备的保管费用的承担：</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8.6样品</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8.6.1样品的报送与封存</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需要承包人报送样品的材料或工程设备，样品的种类、名称、规格、数量要求：</w:t>
      </w:r>
      <w:r>
        <w:rPr>
          <w:rFonts w:hint="eastAsia" w:ascii="仿宋" w:hAnsi="仿宋" w:eastAsia="仿宋" w:cs="仿宋"/>
          <w:color w:val="auto"/>
          <w:sz w:val="24"/>
          <w:szCs w:val="24"/>
          <w:highlight w:val="none"/>
          <w:u w:val="single"/>
        </w:rPr>
        <w:t xml:space="preserve"> 无</w:t>
      </w:r>
      <w:r>
        <w:rPr>
          <w:rFonts w:hint="eastAsia" w:ascii="仿宋" w:hAnsi="仿宋" w:eastAsia="仿宋" w:cs="仿宋"/>
          <w:color w:val="auto"/>
          <w:sz w:val="24"/>
          <w:szCs w:val="24"/>
          <w:highlight w:val="none"/>
        </w:rPr>
        <w:t xml:space="preserve">。</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8.8施工设备和临时设施</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8.8.1承包人提供的施工设备和临时设施</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关于修建临时设施费用承担的约定：</w:t>
      </w:r>
      <w:r>
        <w:rPr>
          <w:rFonts w:hint="eastAsia" w:ascii="仿宋" w:hAnsi="仿宋" w:eastAsia="仿宋" w:cs="仿宋"/>
          <w:color w:val="auto"/>
          <w:sz w:val="24"/>
          <w:szCs w:val="24"/>
          <w:highlight w:val="none"/>
          <w:u w:val="single"/>
        </w:rPr>
        <w:t xml:space="preserve">由承包人自行承担</w:t>
      </w:r>
      <w:r>
        <w:rPr>
          <w:rFonts w:hint="eastAsia" w:ascii="仿宋" w:hAnsi="仿宋" w:eastAsia="仿宋" w:cs="仿宋"/>
          <w:color w:val="auto"/>
          <w:sz w:val="24"/>
          <w:szCs w:val="24"/>
          <w:highlight w:val="none"/>
        </w:rPr>
        <w:t xml:space="preserve">。</w:t>
      </w:r>
      <w:r/>
    </w:p>
    <w:p>
      <w:pPr>
        <w:ind w:firstLine="480"/>
        <w:keepLines w:val="0"/>
        <w:keepNext w:val="0"/>
        <w:pageBreakBefore w:val="0"/>
        <w:spacing w:before="120" w:after="120" w:line="560" w:lineRule="exact"/>
        <w:widowControl w:val="off"/>
        <w:rPr>
          <w:rFonts w:hint="eastAsia" w:ascii="仿宋" w:hAnsi="仿宋" w:eastAsia="仿宋" w:cs="仿宋"/>
          <w:color w:val="auto"/>
          <w:sz w:val="24"/>
          <w:szCs w:val="24"/>
          <w:highlight w:val="none"/>
        </w:rPr>
        <w:outlineLvl w:val="3"/>
      </w:pPr>
      <w:r/>
      <w:bookmarkStart w:id="412" w:name="_Toc101"/>
      <w:r>
        <w:rPr>
          <w:rFonts w:hint="eastAsia" w:ascii="仿宋" w:hAnsi="仿宋" w:eastAsia="仿宋" w:cs="仿宋"/>
          <w:color w:val="auto"/>
          <w:sz w:val="24"/>
          <w:szCs w:val="24"/>
          <w:highlight w:val="none"/>
        </w:rPr>
        <w:t xml:space="preserve">9.试验与检验</w:t>
      </w:r>
      <w:bookmarkEnd w:id="412"/>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9.1试验设备与试验人员</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9.1.2试验设备</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施工现场需要配置的试验场所：</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施工现场需要配备的试验设备：</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施工现场需要具备的其他试验条件：</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9.4现场工艺试验</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现场工艺试验的有关约定：</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firstLine="480"/>
        <w:keepLines w:val="0"/>
        <w:keepNext w:val="0"/>
        <w:pageBreakBefore w:val="0"/>
        <w:spacing w:before="120" w:after="120" w:line="560" w:lineRule="exact"/>
        <w:widowControl w:val="off"/>
        <w:rPr>
          <w:rFonts w:hint="eastAsia" w:ascii="仿宋" w:hAnsi="仿宋" w:eastAsia="仿宋" w:cs="仿宋"/>
          <w:color w:val="auto"/>
          <w:sz w:val="24"/>
          <w:szCs w:val="24"/>
          <w:highlight w:val="none"/>
        </w:rPr>
        <w:outlineLvl w:val="3"/>
      </w:pPr>
      <w:r/>
      <w:bookmarkStart w:id="413" w:name="_Toc102"/>
      <w:r>
        <w:rPr>
          <w:rFonts w:hint="eastAsia" w:ascii="仿宋" w:hAnsi="仿宋" w:eastAsia="仿宋" w:cs="仿宋"/>
          <w:color w:val="auto"/>
          <w:sz w:val="24"/>
          <w:szCs w:val="24"/>
          <w:highlight w:val="none"/>
        </w:rPr>
        <w:t xml:space="preserve">10.变更</w:t>
      </w:r>
      <w:bookmarkEnd w:id="413"/>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10.1变更的范围</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关于变更的范围的约定：</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1、设计变更需有设计部门的设计变更通知单，并经发包人现场负责人签字并由发包人单位盖章确认。</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2、现场签证必须由发包人、监理单位签字确认以及经发包人现场负责人、总监理工程师共同签字确认及盖章方可有效。</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3、承包人不得对原有工程设计进行变更，因承包人自身原因导致的工程变更，承包人无权要求追加合同价款的签证，并承担由此给发包人带来的一切损失。 </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因工程设计变更引起的工程量增减，且符合价款调整条件的，必须在7日历天内将量、价申请报告报发包人现场负责人、总监理工程师核准，如承包人在规定时间内未提交申请报告的，视为承包人对该变更事项不存在调整价款请求，任何后补签证的请求，发包人将不再接受。</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5、因工程量的增加，承包人提出顺延工期的申请，将不予批准。</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6、签证单上应明确签证的原因及工程量等相关内容，必须连续编号，无编号的签证不予结算。</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7、因使用需求而引起的变更，承包人将无条件予以配合完成相应的工程施工，逾期违约详见专用条款16.2.2.11条。</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10.4变更估价</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10.4.1变更估价原则</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关于变更估价的约定：承包人在工程变更确定后14 天内，提出变更工程价款的报告，经发包人和监理工程师确认后调整合同价款，变更合同价款按下列方法进行：</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（1）已标价工程量清单或投标书有相同项目的，按照相同项目单价认定；</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（2）已标价工程量清单或投标书中无相同项目，但有类似项目的，参照类似项目的单价认定；</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（3）变更导致实际完成的变更工程量与已标价工程量清单中列明的该项目工程量的变化幅度超过15%的：当工程量增加15%以上时，其增加部分的工程量的综合单价应予调低；</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当工程量减少15%以上时，减少后剩余部分的工程量的综合单价应予调高；调整办法参照GB50500-2013《建设工程工程量清单计价规范》。</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已标价工程量清单或预算书中无相同项目及类似项目单价的：a、依据投标报价中相应的人工、材料、机械价格及费用计取标准计算组成新增项目的结算价；b、对于投标报价中相关价格、标准混乱或无法鉴别的，则按编制工程招标控制价相同的标准计算新增项目的预算价，以预算价下浮后【下浮率= (1-中标价/招标控制价)×100%，不含暂估价材料、暂列金额、专业工程暂估价】确定新增项目的结算价。</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10.5承包人的合理化建议</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监理人审查承包人合理化建议的期限：</w:t>
      </w:r>
      <w:r>
        <w:rPr>
          <w:rFonts w:hint="eastAsia" w:ascii="仿宋" w:hAnsi="仿宋" w:eastAsia="仿宋" w:cs="仿宋"/>
          <w:color w:val="auto"/>
          <w:sz w:val="24"/>
          <w:szCs w:val="24"/>
          <w:highlight w:val="none"/>
          <w:u w:val="single"/>
        </w:rPr>
        <w:t xml:space="preserve">收到合理化建议后三天内</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发包人审批承包人合理化建议的期限：</w:t>
      </w:r>
      <w:r>
        <w:rPr>
          <w:rFonts w:hint="eastAsia" w:ascii="仿宋" w:hAnsi="仿宋" w:eastAsia="仿宋" w:cs="仿宋"/>
          <w:color w:val="auto"/>
          <w:sz w:val="24"/>
          <w:szCs w:val="24"/>
          <w:highlight w:val="none"/>
          <w:u w:val="single"/>
        </w:rPr>
        <w:t xml:space="preserve">收到合理化建议后三天内</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承包人提出的合理化建议降低了合同价格或者提高了工程经济效益的奖励的方法和金额为：</w:t>
      </w:r>
      <w:r>
        <w:rPr>
          <w:rFonts w:hint="eastAsia" w:ascii="仿宋" w:hAnsi="仿宋" w:eastAsia="仿宋" w:cs="仿宋"/>
          <w:color w:val="auto"/>
          <w:sz w:val="24"/>
          <w:szCs w:val="24"/>
          <w:highlight w:val="none"/>
          <w:u w:val="single"/>
        </w:rPr>
        <w:t xml:space="preserve">无</w:t>
      </w:r>
      <w:r>
        <w:rPr>
          <w:rFonts w:hint="eastAsia" w:ascii="仿宋" w:hAnsi="仿宋" w:eastAsia="仿宋" w:cs="仿宋"/>
          <w:color w:val="auto"/>
          <w:sz w:val="24"/>
          <w:szCs w:val="24"/>
          <w:highlight w:val="none"/>
        </w:rPr>
        <w:t xml:space="preserve">。</w:t>
      </w:r>
      <w:r/>
    </w:p>
    <w:p>
      <w:pPr>
        <w:ind w:firstLine="480"/>
        <w:keepLines w:val="0"/>
        <w:keepNext w:val="0"/>
        <w:pageBreakBefore w:val="0"/>
        <w:spacing w:before="120" w:after="120" w:line="560" w:lineRule="exact"/>
        <w:widowControl w:val="off"/>
        <w:rPr>
          <w:rFonts w:hint="eastAsia" w:ascii="仿宋" w:hAnsi="仿宋" w:eastAsia="仿宋" w:cs="仿宋"/>
          <w:color w:val="auto"/>
          <w:sz w:val="24"/>
          <w:szCs w:val="24"/>
          <w:highlight w:val="none"/>
        </w:rPr>
        <w:outlineLvl w:val="3"/>
      </w:pPr>
      <w:r/>
      <w:bookmarkStart w:id="414" w:name="_Toc103"/>
      <w:r>
        <w:rPr>
          <w:rFonts w:hint="eastAsia" w:ascii="仿宋" w:hAnsi="仿宋" w:eastAsia="仿宋" w:cs="仿宋"/>
          <w:color w:val="auto"/>
          <w:sz w:val="24"/>
          <w:szCs w:val="24"/>
          <w:highlight w:val="none"/>
        </w:rPr>
        <w:t xml:space="preserve">11. 价格调整</w:t>
      </w:r>
      <w:bookmarkEnd w:id="414"/>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 市场价格波动引起的调整</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市场价格波动是否调整合同价格的约定：</w:t>
      </w:r>
      <w:r>
        <w:rPr>
          <w:rFonts w:hint="eastAsia" w:ascii="仿宋" w:hAnsi="仿宋" w:eastAsia="仿宋" w:cs="仿宋"/>
          <w:color w:val="auto"/>
          <w:sz w:val="24"/>
          <w:szCs w:val="24"/>
          <w:highlight w:val="none"/>
          <w:u w:val="single"/>
        </w:rPr>
        <w:t xml:space="preserve">本工程除人工费用、主要建筑材料费用按政策性文件调整外，其他价格均不作调整</w:t>
      </w:r>
      <w:r>
        <w:rPr>
          <w:rFonts w:hint="eastAsia" w:ascii="仿宋" w:hAnsi="仿宋" w:eastAsia="仿宋" w:cs="仿宋"/>
          <w:color w:val="auto"/>
          <w:sz w:val="24"/>
          <w:szCs w:val="24"/>
          <w:highlight w:val="none"/>
        </w:rPr>
        <w:t xml:space="preserve">。</w:t>
      </w:r>
      <w:r/>
    </w:p>
    <w:p>
      <w:pPr>
        <w:ind w:firstLine="482"/>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b/>
          <w:bCs/>
          <w:color w:val="auto"/>
          <w:sz w:val="24"/>
          <w:szCs w:val="24"/>
          <w:highlight w:val="none"/>
          <w:u w:val="single"/>
        </w:rPr>
        <w:t xml:space="preserve">主要建筑材料包含的范围：</w:t>
      </w:r>
      <w:r>
        <w:rPr>
          <w:rFonts w:hint="eastAsia" w:ascii="仿宋" w:hAnsi="仿宋" w:eastAsia="仿宋" w:cs="仿宋"/>
          <w:color w:val="auto"/>
          <w:sz w:val="24"/>
          <w:szCs w:val="24"/>
          <w:highlight w:val="none"/>
          <w:u w:val="single"/>
        </w:rPr>
        <w:t xml:space="preserve">第一类主要建筑材料、第二类主要建筑材料。</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材料费占单位工程费2%以下的各类材料为非主要建筑材料；材料费占单位工程费2%以上，10%以内的各类材料为第一类主要建筑材料；材料费占单位工程费10%以上的各类材料为第二类主要建筑材料。</w:t>
      </w:r>
      <w:r/>
    </w:p>
    <w:p>
      <w:pPr>
        <w:ind w:firstLine="482"/>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b/>
          <w:bCs/>
          <w:color w:val="auto"/>
          <w:sz w:val="24"/>
          <w:szCs w:val="24"/>
          <w:highlight w:val="none"/>
          <w:u w:val="single"/>
        </w:rPr>
        <w:t xml:space="preserve">承包方投标价格中包含的材料价格风险的幅度以及当主要建筑材料价格波动超过投标价格中的风险幅度时的材料价格调整办法：</w:t>
      </w:r>
      <w:r>
        <w:rPr>
          <w:rFonts w:hint="eastAsia" w:ascii="仿宋" w:hAnsi="仿宋" w:eastAsia="仿宋" w:cs="仿宋"/>
          <w:color w:val="auto"/>
          <w:sz w:val="24"/>
          <w:szCs w:val="24"/>
          <w:highlight w:val="none"/>
          <w:u w:val="single"/>
        </w:rPr>
        <w:t xml:space="preserve">当工程施工期间非主要建筑材料价格上涨或下降的，其差价均由承包人承担或收益；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主要建筑材料差价的确定：以工程所在地造价管理部门发布的材料指导价格为基准（缺指导价的材料以三方确认的市场信息价为准），差价为施工期同类材料加权平均指导价格与递交投标文件截止日期前28天当月的材料指导价格的差额。</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施工期材料加权平均指导价按下列公式计算：</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施工期材料加权平均指导价＝∑（每月实际使用量×当月材料指导价）/同类材料总用量。如因发包人原因造成工期延误的，延误期间发生的材料价格上涨差额由发包人承担；如因承包人原因造成工期延误的，延误期间发生的材料价格上涨差额由承包人承担。</w:t>
      </w:r>
      <w:r/>
    </w:p>
    <w:p>
      <w:pPr>
        <w:ind w:firstLine="480"/>
        <w:keepLines w:val="0"/>
        <w:keepNext w:val="0"/>
        <w:pageBreakBefore w:val="0"/>
        <w:spacing w:before="120" w:after="120" w:line="560" w:lineRule="exact"/>
        <w:widowControl w:val="off"/>
        <w:rPr>
          <w:rFonts w:hint="eastAsia" w:ascii="仿宋" w:hAnsi="仿宋" w:eastAsia="仿宋" w:cs="仿宋"/>
          <w:color w:val="auto"/>
          <w:sz w:val="24"/>
          <w:szCs w:val="24"/>
          <w:highlight w:val="none"/>
        </w:rPr>
        <w:outlineLvl w:val="3"/>
      </w:pPr>
      <w:r/>
      <w:bookmarkStart w:id="415" w:name="_Toc104"/>
      <w:r>
        <w:rPr>
          <w:rFonts w:hint="eastAsia" w:ascii="仿宋" w:hAnsi="仿宋" w:eastAsia="仿宋" w:cs="仿宋"/>
          <w:color w:val="auto"/>
          <w:sz w:val="24"/>
          <w:szCs w:val="24"/>
          <w:highlight w:val="none"/>
        </w:rPr>
        <w:t xml:space="preserve">12.合同价格、计量与支付</w:t>
      </w:r>
      <w:bookmarkEnd w:id="415"/>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12.1合同价格形式</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单价包含的风险范围：</w:t>
      </w:r>
      <w:r>
        <w:rPr>
          <w:rFonts w:hint="eastAsia" w:ascii="仿宋" w:hAnsi="仿宋" w:eastAsia="仿宋" w:cs="仿宋"/>
          <w:color w:val="auto"/>
          <w:sz w:val="24"/>
          <w:szCs w:val="24"/>
          <w:highlight w:val="none"/>
          <w:u w:val="single"/>
        </w:rPr>
        <w:t xml:space="preserve"> 本工程综合单价已包含除人工、第11.1款约定主要建筑材料外其他材料、设备、机械的市场价格风险，已包含施工场地、地下水位、地下障碍物、管理、天气、用水用电等可能对施工造成影响的风险</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风险范围以外合同价格的调整方法：</w:t>
      </w:r>
      <w:r>
        <w:rPr>
          <w:rFonts w:hint="eastAsia" w:ascii="仿宋" w:hAnsi="仿宋" w:eastAsia="仿宋" w:cs="仿宋"/>
          <w:color w:val="auto"/>
          <w:sz w:val="24"/>
          <w:szCs w:val="24"/>
          <w:highlight w:val="none"/>
          <w:u w:val="single"/>
        </w:rPr>
        <w:t xml:space="preserve">1、项目招标工程量清单漏项及不准确部分，结算时按实调整；国家及地方出台政策性调整文件，按调整文件执行；发包人和监理人均认可的签证（含合同以外的零星工作或发生非承包人责任事件的工程量调整）以及主要建筑材料价格变动；</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三方约定合同价款的其他调整因素：</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A、由发包人签发的现场签证、和会议纪要中有关牵涉到工程造价变化的部分，均按工程变更考虑，统一执行专用条款第10条中有关工程变更价款调整的计算方法。</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B</w:t>
      </w:r>
      <w:r>
        <w:rPr>
          <w:rFonts w:hint="eastAsia" w:ascii="仿宋" w:hAnsi="仿宋" w:eastAsia="仿宋" w:cs="仿宋"/>
          <w:color w:val="auto"/>
          <w:sz w:val="24"/>
          <w:szCs w:val="24"/>
          <w:highlight w:val="none"/>
          <w:u w:val="single"/>
        </w:rPr>
        <w:t xml:space="preserve">、工程量清单、工程量清单编制说明、会议纪要及约定的材料暂估价项目；</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val="en-US" w:eastAsia="zh-CN"/>
        </w:rPr>
        <w:t xml:space="preserve">C</w:t>
      </w:r>
      <w:r>
        <w:rPr>
          <w:rFonts w:hint="eastAsia" w:ascii="仿宋" w:hAnsi="仿宋" w:eastAsia="仿宋" w:cs="仿宋"/>
          <w:color w:val="auto"/>
          <w:sz w:val="24"/>
          <w:szCs w:val="24"/>
          <w:highlight w:val="none"/>
          <w:u w:val="single"/>
        </w:rPr>
        <w:t xml:space="preserve">、符合上述要求的调整因素结算时应执行招投标期间确定的综合单价；变更、签证引起新增工程量清单项目，其相应综合单价按《建设工程工程量清单计价规范》（GB50500-2013）、《房屋建筑与装饰工程工程量计算规范》GB50854-2013、《通用安装工程工程量计算规范》GB50856-2013、《江苏省建设工程费用定额》（2014年）、《江苏省建筑与装饰工程计价定额》（2014）、《江苏省安装工程计价定额》（2014年）及各级建设行政主管部门发布的有关文件及政策性规定计算，以委托的有资质的造价咨询单位审核为准</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2、其他价格方式：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12.2预付款</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12.2.1预付款的支付</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预付款支付比例或金额：</w:t>
      </w:r>
      <w:r>
        <w:rPr>
          <w:rFonts w:hint="eastAsia" w:ascii="仿宋" w:hAnsi="仿宋" w:eastAsia="仿宋" w:cs="仿宋"/>
          <w:color w:val="auto"/>
          <w:sz w:val="24"/>
          <w:szCs w:val="24"/>
          <w:highlight w:val="none"/>
          <w:u w:val="single"/>
        </w:rPr>
        <w:t xml:space="preserve">合同价款的10%</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预付款支付期限：</w:t>
      </w:r>
      <w:r>
        <w:rPr>
          <w:rFonts w:hint="eastAsia" w:ascii="仿宋" w:hAnsi="仿宋" w:eastAsia="仿宋" w:cs="仿宋"/>
          <w:color w:val="auto"/>
          <w:sz w:val="24"/>
          <w:szCs w:val="24"/>
          <w:highlight w:val="none"/>
          <w:u w:val="single"/>
        </w:rPr>
        <w:t xml:space="preserve">合同签订后</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Cs/>
          <w:color w:val="auto"/>
          <w:sz w:val="24"/>
          <w:szCs w:val="24"/>
          <w:highlight w:val="none"/>
        </w:rPr>
        <w:t xml:space="preserve">注：在签订合同时，</w:t>
      </w:r>
      <w:r>
        <w:rPr>
          <w:rFonts w:hint="eastAsia" w:ascii="仿宋" w:hAnsi="仿宋" w:eastAsia="仿宋" w:cs="仿宋"/>
          <w:bCs/>
          <w:color w:val="auto"/>
          <w:sz w:val="24"/>
          <w:szCs w:val="24"/>
          <w:highlight w:val="none"/>
          <w:lang w:eastAsia="zh-CN"/>
        </w:rPr>
        <w:t xml:space="preserve">成交供应商</w:t>
      </w:r>
      <w:r>
        <w:rPr>
          <w:rFonts w:hint="eastAsia" w:ascii="仿宋" w:hAnsi="仿宋" w:eastAsia="仿宋" w:cs="仿宋"/>
          <w:bCs/>
          <w:color w:val="auto"/>
          <w:sz w:val="24"/>
          <w:szCs w:val="24"/>
          <w:highlight w:val="none"/>
        </w:rPr>
        <w:t xml:space="preserve">明确表示无需预付款或者主动要求降低预付款比例的金额，采购人可不适用预付款规定。</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12.2.2预付款担保</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承包人提交预付款担保的期限：</w:t>
      </w:r>
      <w:r>
        <w:rPr>
          <w:rFonts w:hint="eastAsia" w:ascii="仿宋" w:hAnsi="仿宋" w:eastAsia="仿宋" w:cs="仿宋"/>
          <w:color w:val="auto"/>
          <w:sz w:val="24"/>
          <w:szCs w:val="24"/>
          <w:highlight w:val="none"/>
          <w:u w:val="single"/>
        </w:rPr>
        <w:t xml:space="preserve">发包人支付预付款7天前。</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预付款担保的形式为：</w:t>
      </w:r>
      <w:r>
        <w:rPr>
          <w:rFonts w:hint="eastAsia" w:ascii="仿宋" w:hAnsi="仿宋" w:eastAsia="仿宋" w:cs="仿宋"/>
          <w:color w:val="auto"/>
          <w:sz w:val="24"/>
          <w:szCs w:val="24"/>
          <w:highlight w:val="none"/>
          <w:u w:val="single"/>
        </w:rPr>
        <w:t xml:space="preserve">提供等额预付款担保，可采用银行保函、保证担保、保证保险形式</w:t>
      </w:r>
      <w:r>
        <w:rPr>
          <w:rFonts w:hint="eastAsia" w:ascii="仿宋" w:hAnsi="仿宋" w:eastAsia="仿宋" w:cs="仿宋"/>
          <w:color w:val="auto"/>
          <w:sz w:val="24"/>
          <w:szCs w:val="24"/>
          <w:highlight w:val="none"/>
        </w:rPr>
        <w:t xml:space="preserve">。</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12.3计量</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12.3.1计量原则</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工程量计算规则：</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12.3.2计量周期</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关于计量周期的约定：</w:t>
      </w:r>
      <w:r>
        <w:rPr>
          <w:rFonts w:hint="eastAsia" w:ascii="仿宋" w:hAnsi="仿宋" w:eastAsia="仿宋" w:cs="仿宋"/>
          <w:color w:val="auto"/>
          <w:sz w:val="24"/>
          <w:szCs w:val="24"/>
          <w:highlight w:val="none"/>
          <w:u w:val="single"/>
        </w:rPr>
        <w:t xml:space="preserve">    按12.4.1条付款周期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12.3.3单价合同的计量</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关于单价合同计量的约定：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12.3.4总价合同的计量</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关于总价合同计量的约定：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12.3.5总价合同采用支付分解表计量支付的，是否适用第12.3.4 项〔总价合同的计量〕约定进行计量：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12.3.6其他价格形式合同的计量</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其他价格形式的计量方式和程序：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12.4工程进度款支付</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yellow"/>
        </w:rPr>
      </w:pPr>
      <w:r>
        <w:rPr>
          <w:rFonts w:hint="eastAsia" w:ascii="仿宋" w:hAnsi="仿宋" w:eastAsia="仿宋" w:cs="仿宋"/>
          <w:color w:val="auto"/>
          <w:sz w:val="24"/>
          <w:szCs w:val="24"/>
          <w:highlight w:val="none"/>
        </w:rPr>
        <w:t xml:space="preserve">12.4.1付款周期</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u w:val="single"/>
          <w:lang w:val="en-US" w:eastAsia="zh-CN" w:bidi="ar-SA"/>
        </w:rPr>
        <w:t xml:space="preserve">预付款：合同金额的10%，合同签订后按规定支付；</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u w:val="single"/>
          <w:lang w:val="en-US" w:eastAsia="zh-CN" w:bidi="ar-SA"/>
        </w:rPr>
        <w:t xml:space="preserve">进度款：工程竣工并经验收合格后付至合同价款的80%，审计结束后付至审定价的97%，余款待质保期满后无质量问题一次性付清（无息）。</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u w:val="single"/>
          <w:lang w:val="en-US" w:eastAsia="zh-CN" w:bidi="ar-SA"/>
        </w:rPr>
        <w:t xml:space="preserve">注：在签订合同时，成交供应商明确表示无需预付款或者主动要求降低预付款比例的金额，采购人可不适用预付款规定</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12.4.2进度付款申请单的编制</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关于进度付款申请单编制的约定：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12.4.3进度付款申请单的提交</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（1）单价合同进度付款申请单提交的约定：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（2）总价合同进度付款申请单提交的约定：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（3）其他价格形式合同进度付款申请单提交的约定：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12.4.4进度款审核和支付</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（1）监理人审查并报送发包人的期限：</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发包人完成审批并签发进度款支付证书的期限：</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（2）发包人支付进度款的期限：</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发包人逾期支付进度款的违约金的计算方式：</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12.4.6支付分解表的编制</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总价合同支付分解表的编制与审批：</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单价合同的总价项目支付分解表的编制与审批：</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80"/>
        <w:keepLines w:val="0"/>
        <w:keepNext w:val="0"/>
        <w:pageBreakBefore w:val="0"/>
        <w:spacing w:before="120" w:after="120" w:line="560" w:lineRule="exact"/>
        <w:widowControl w:val="off"/>
        <w:rPr>
          <w:rFonts w:hint="eastAsia" w:ascii="仿宋" w:hAnsi="仿宋" w:eastAsia="仿宋" w:cs="仿宋"/>
          <w:color w:val="auto"/>
          <w:sz w:val="24"/>
          <w:szCs w:val="24"/>
          <w:highlight w:val="none"/>
        </w:rPr>
        <w:outlineLvl w:val="3"/>
      </w:pPr>
      <w:r/>
      <w:bookmarkStart w:id="416" w:name="_Toc105"/>
      <w:r>
        <w:rPr>
          <w:rFonts w:hint="eastAsia" w:ascii="仿宋" w:hAnsi="仿宋" w:eastAsia="仿宋" w:cs="仿宋"/>
          <w:color w:val="auto"/>
          <w:sz w:val="24"/>
          <w:szCs w:val="24"/>
          <w:highlight w:val="none"/>
        </w:rPr>
        <w:t xml:space="preserve">13.验收和工程试车</w:t>
      </w:r>
      <w:bookmarkEnd w:id="416"/>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13.1分部分项工程验收</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13.1.2监理人不能按时进行验收时，应提前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小时提交书面延期要求。</w:t>
      </w:r>
      <w:r/>
    </w:p>
    <w:p>
      <w:pPr>
        <w:ind w:firstLine="480"/>
        <w:jc w:val="left"/>
        <w:keepLines w:val="0"/>
        <w:keepNext w:val="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  48  </w:t>
      </w:r>
      <w:r>
        <w:rPr>
          <w:rFonts w:hint="eastAsia" w:ascii="仿宋" w:hAnsi="仿宋" w:eastAsia="仿宋" w:cs="仿宋"/>
          <w:color w:val="auto"/>
          <w:sz w:val="24"/>
          <w:szCs w:val="24"/>
          <w:highlight w:val="none"/>
        </w:rPr>
        <w:t xml:space="preserve">小时。</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13.2竣工验收</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13.2.2竣工验收程序</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关于竣工验收程序的约定：</w:t>
      </w:r>
      <w:r>
        <w:rPr>
          <w:rFonts w:hint="eastAsia" w:ascii="仿宋" w:hAnsi="仿宋" w:eastAsia="仿宋" w:cs="仿宋"/>
          <w:color w:val="auto"/>
          <w:sz w:val="24"/>
          <w:szCs w:val="24"/>
          <w:highlight w:val="none"/>
          <w:u w:val="single"/>
        </w:rPr>
        <w:t xml:space="preserve"> 按通用条款执行</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13.2.5移交、接收全部与部分工程</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承包人向发包人移交工程的期限：</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承包人未按时移交工程的，违约金的计算方法为：</w:t>
      </w:r>
      <w:r>
        <w:rPr>
          <w:rFonts w:hint="eastAsia" w:ascii="仿宋" w:hAnsi="仿宋" w:eastAsia="仿宋" w:cs="仿宋"/>
          <w:color w:val="auto"/>
          <w:sz w:val="24"/>
          <w:szCs w:val="24"/>
          <w:highlight w:val="none"/>
          <w:u w:val="single"/>
        </w:rPr>
        <w:t xml:space="preserve">详见专用条款16.2.2.21条</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13.3工程试车</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13.3.1试车程序</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工程试车内容：</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（1）单机无负荷试车费用由</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承担；</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（2）无负荷联动试车费用由</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承担。</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13.3.3投料试车</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关于投料试车相关事项的约定：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13.6竣工退场</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13.6.1竣工退场</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承包人完成竣工退场的期限：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keepLines w:val="0"/>
        <w:keepNext w:val="0"/>
        <w:pageBreakBefore w:val="0"/>
        <w:spacing w:before="120" w:after="120" w:line="560" w:lineRule="exact"/>
        <w:widowControl w:val="off"/>
        <w:rPr>
          <w:rFonts w:hint="eastAsia" w:ascii="仿宋" w:hAnsi="仿宋" w:eastAsia="仿宋" w:cs="仿宋"/>
          <w:color w:val="auto"/>
          <w:sz w:val="24"/>
          <w:szCs w:val="24"/>
          <w:highlight w:val="none"/>
        </w:rPr>
        <w:outlineLvl w:val="3"/>
      </w:pPr>
      <w:r/>
      <w:bookmarkStart w:id="417" w:name="_Toc106"/>
      <w:r>
        <w:rPr>
          <w:rFonts w:hint="eastAsia" w:ascii="仿宋" w:hAnsi="仿宋" w:eastAsia="仿宋" w:cs="仿宋"/>
          <w:color w:val="auto"/>
          <w:sz w:val="24"/>
          <w:szCs w:val="24"/>
          <w:highlight w:val="none"/>
        </w:rPr>
        <w:t xml:space="preserve">14.竣工结算</w:t>
      </w:r>
      <w:bookmarkEnd w:id="417"/>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14.1竣工付款申请</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承包人提交竣工付款申请单的期限：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竣工付款申请单应包括的内容：</w:t>
      </w:r>
      <w:r>
        <w:rPr>
          <w:rFonts w:hint="eastAsia" w:ascii="仿宋" w:hAnsi="仿宋" w:eastAsia="仿宋" w:cs="仿宋"/>
          <w:color w:val="auto"/>
          <w:sz w:val="24"/>
          <w:szCs w:val="24"/>
          <w:highlight w:val="none"/>
          <w:u w:val="single"/>
        </w:rPr>
        <w:t xml:space="preserve">竣工结算合同总价、发包人已支付承包人的工程价款、应扣留的质量保证金、应支付的竣工付款金额</w:t>
      </w:r>
      <w:r>
        <w:rPr>
          <w:rFonts w:hint="eastAsia" w:ascii="仿宋" w:hAnsi="仿宋" w:eastAsia="仿宋" w:cs="仿宋"/>
          <w:color w:val="auto"/>
          <w:sz w:val="24"/>
          <w:szCs w:val="24"/>
          <w:highlight w:val="none"/>
        </w:rPr>
        <w:t xml:space="preserve">。</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14.2竣工结算审核</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同意工程竣工验收合格后，由其委托的具有相应资质的建设工程造价咨询机构对本合同项下工程造价进行审计，并以该审计结果作为结算工程款的依据。承包人提供的结算资料不符合审计要求的，必须及时补充提供，后果由承包人自行承担，且不能因此推断发包人同意承包人提供的结算。审计期的长短与发包人无关，承包人承诺不以审计期间过长为由向发包人主张损失赔偿权利。</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工程结算审计由发包人负责向审计机关报送</w:t>
      </w:r>
      <w:r>
        <w:rPr>
          <w:rFonts w:hint="eastAsia" w:ascii="仿宋" w:hAnsi="仿宋" w:eastAsia="仿宋" w:cs="仿宋"/>
          <w:color w:val="auto"/>
          <w:sz w:val="24"/>
          <w:szCs w:val="24"/>
          <w:highlight w:val="none"/>
          <w:lang w:eastAsia="zh-CN"/>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建设项目结算审计，按照以下规定支付审计费用：</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1.单项工程核减率超过10%的，其审计费用全部由施工单位承担，并由建设单位从施工单位工程款中扣除（下同）；</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2.单项工程核减率在8%—10%（含10%）之间的，其审计费用由建设单位承担20%，施工单位承担80%；</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3.单项工程核减率在5%—8%（含8%）之间的，其审计费用由建设单位承担80%，施工单位承担20%；</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4.单项工程核减率在5%及其以下的，其审计费用由建设单位承担。</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5.核减率按审计最终核定额与施工单位申报送审的结算额之间的差额计算。</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发包人完成竣工付款的期限：</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关于竣工付款证书异议部分复核的方式和程序：</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14.4最终结清</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14.4.1最终结清申请单</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承包人提交最终结清申请单的份数：</w:t>
      </w:r>
      <w:r>
        <w:rPr>
          <w:rFonts w:hint="eastAsia" w:ascii="仿宋" w:hAnsi="仿宋" w:eastAsia="仿宋" w:cs="仿宋"/>
          <w:color w:val="auto"/>
          <w:sz w:val="24"/>
          <w:szCs w:val="24"/>
          <w:highlight w:val="none"/>
          <w:u w:val="single"/>
        </w:rPr>
        <w:t xml:space="preserve">一式五份</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承包人提交最终结算申请单的期限：</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 </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14.4.2最终结清证书和支付</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（1）发包人完成最终结清申请单的审批并颁发最终结清证书的期限：</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（2）发包人完成支付的期限：</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（3）发包人有权决定以何种方式支付合同工程款。</w:t>
      </w:r>
      <w:r/>
    </w:p>
    <w:p>
      <w:pPr>
        <w:ind w:firstLine="480"/>
        <w:keepLines w:val="0"/>
        <w:keepNext w:val="0"/>
        <w:pageBreakBefore w:val="0"/>
        <w:spacing w:before="120" w:after="120" w:line="560" w:lineRule="exact"/>
        <w:widowControl w:val="off"/>
        <w:rPr>
          <w:rFonts w:hint="eastAsia" w:ascii="仿宋" w:hAnsi="仿宋" w:eastAsia="仿宋" w:cs="仿宋"/>
          <w:color w:val="auto"/>
          <w:sz w:val="24"/>
          <w:szCs w:val="24"/>
          <w:highlight w:val="none"/>
        </w:rPr>
        <w:outlineLvl w:val="3"/>
      </w:pPr>
      <w:r/>
      <w:bookmarkStart w:id="418" w:name="_Toc107"/>
      <w:r>
        <w:rPr>
          <w:rFonts w:hint="eastAsia" w:ascii="仿宋" w:hAnsi="仿宋" w:eastAsia="仿宋" w:cs="仿宋"/>
          <w:color w:val="auto"/>
          <w:sz w:val="24"/>
          <w:szCs w:val="24"/>
          <w:highlight w:val="none"/>
        </w:rPr>
        <w:t xml:space="preserve">15.缺陷责任期与保修</w:t>
      </w:r>
      <w:bookmarkEnd w:id="418"/>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15.2缺陷责任期</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缺陷责任期的具体期限：</w:t>
      </w:r>
      <w:r>
        <w:rPr>
          <w:rFonts w:hint="eastAsia" w:ascii="仿宋" w:hAnsi="仿宋" w:eastAsia="仿宋" w:cs="仿宋"/>
          <w:color w:val="auto"/>
          <w:sz w:val="24"/>
          <w:szCs w:val="24"/>
          <w:highlight w:val="none"/>
          <w:u w:val="single"/>
        </w:rPr>
        <w:t xml:space="preserve">从工程竣工验收合格之日起 24 个月</w:t>
      </w:r>
      <w:r>
        <w:rPr>
          <w:rFonts w:hint="eastAsia" w:ascii="仿宋" w:hAnsi="仿宋" w:eastAsia="仿宋" w:cs="仿宋"/>
          <w:color w:val="auto"/>
          <w:sz w:val="24"/>
          <w:szCs w:val="24"/>
          <w:highlight w:val="none"/>
        </w:rPr>
        <w:t xml:space="preserve">。</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15.3质量保证金</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关于是否扣留质量保证金的约定：</w:t>
      </w:r>
      <w:r>
        <w:rPr>
          <w:rFonts w:hint="eastAsia" w:ascii="仿宋" w:hAnsi="仿宋" w:eastAsia="仿宋" w:cs="仿宋"/>
          <w:color w:val="auto"/>
          <w:sz w:val="24"/>
          <w:szCs w:val="24"/>
          <w:highlight w:val="none"/>
          <w:u w:val="single"/>
        </w:rPr>
        <w:t xml:space="preserve">  是  。</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15.3.1承包人提供质量保证金的方式</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质量保证金采用以下第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（1）质量保证金保函，保证金额为：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 xml:space="preserve">%的结算价款；</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（3）其他方式:</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15.3.2 质量保证金的扣留 </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质量保证金的扣留采取以下第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（1）在支付工程进度款时逐次扣留，在此情形下，质量保证金的计算基数不包括预付款的支付、扣回以及价格调整的金额；</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（2）工程竣工结算时一次性扣留质量保证金；</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（3）其他扣留方式: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关于质量保证金的补充约定：</w:t>
      </w:r>
      <w:r>
        <w:rPr>
          <w:rFonts w:hint="eastAsia" w:ascii="仿宋" w:hAnsi="仿宋" w:eastAsia="仿宋" w:cs="仿宋"/>
          <w:color w:val="auto"/>
          <w:sz w:val="24"/>
          <w:szCs w:val="24"/>
          <w:highlight w:val="none"/>
          <w:u w:val="single"/>
        </w:rPr>
        <w:t xml:space="preserve"> 按通用条款执行 </w:t>
      </w:r>
      <w:r>
        <w:rPr>
          <w:rFonts w:hint="eastAsia" w:ascii="仿宋" w:hAnsi="仿宋" w:eastAsia="仿宋" w:cs="仿宋"/>
          <w:color w:val="auto"/>
          <w:sz w:val="24"/>
          <w:szCs w:val="24"/>
          <w:highlight w:val="none"/>
        </w:rPr>
        <w:t xml:space="preserve">。</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15.4保修</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15.4.1保修责任</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工程保修期为：</w:t>
      </w:r>
      <w:r>
        <w:rPr>
          <w:rFonts w:hint="eastAsia" w:ascii="仿宋" w:hAnsi="仿宋" w:eastAsia="仿宋" w:cs="仿宋"/>
          <w:color w:val="auto"/>
          <w:sz w:val="24"/>
          <w:szCs w:val="24"/>
          <w:highlight w:val="none"/>
          <w:u w:val="single"/>
        </w:rPr>
        <w:t xml:space="preserve"> 从工程竣工验收合格之日起算，详见附件1：工程质量保修书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15.4.3修复通知</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承包人收到保修通知并到达工程现场的合理时间：</w:t>
      </w:r>
      <w:r>
        <w:rPr>
          <w:rFonts w:hint="eastAsia" w:ascii="仿宋" w:hAnsi="仿宋" w:eastAsia="仿宋" w:cs="仿宋"/>
          <w:color w:val="auto"/>
          <w:sz w:val="24"/>
          <w:szCs w:val="24"/>
          <w:highlight w:val="none"/>
          <w:u w:val="single"/>
        </w:rPr>
        <w:t xml:space="preserve"> 24小时内  </w:t>
      </w:r>
      <w:r>
        <w:rPr>
          <w:rFonts w:hint="eastAsia" w:ascii="仿宋" w:hAnsi="仿宋" w:eastAsia="仿宋" w:cs="仿宋"/>
          <w:color w:val="auto"/>
          <w:sz w:val="24"/>
          <w:szCs w:val="24"/>
          <w:highlight w:val="none"/>
        </w:rPr>
        <w:t xml:space="preserve">。</w:t>
      </w:r>
      <w:r/>
    </w:p>
    <w:p>
      <w:pPr>
        <w:ind w:firstLine="480"/>
        <w:keepLines w:val="0"/>
        <w:keepNext w:val="0"/>
        <w:pageBreakBefore w:val="0"/>
        <w:spacing w:before="120" w:after="120" w:line="560" w:lineRule="exact"/>
        <w:widowControl w:val="off"/>
        <w:rPr>
          <w:rFonts w:hint="eastAsia" w:ascii="仿宋" w:hAnsi="仿宋" w:eastAsia="仿宋" w:cs="仿宋"/>
          <w:color w:val="auto"/>
          <w:sz w:val="24"/>
          <w:szCs w:val="24"/>
          <w:highlight w:val="none"/>
        </w:rPr>
        <w:outlineLvl w:val="3"/>
      </w:pPr>
      <w:r/>
      <w:bookmarkStart w:id="419" w:name="_Toc108"/>
      <w:r>
        <w:rPr>
          <w:rFonts w:hint="eastAsia" w:ascii="仿宋" w:hAnsi="仿宋" w:eastAsia="仿宋" w:cs="仿宋"/>
          <w:color w:val="auto"/>
          <w:sz w:val="24"/>
          <w:szCs w:val="24"/>
          <w:highlight w:val="none"/>
        </w:rPr>
        <w:t xml:space="preserve">16.违约</w:t>
      </w:r>
      <w:bookmarkEnd w:id="419"/>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16.1发包人违约</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16.1.1发包人违约的情形</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发包人违约的其他情形：</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16.1.2发包人违约的责任</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发包人违约责任的承担方式和计算方法：</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（1）因发包人原因未能在计划开工日期前7天内下达开工通知的违约责任：</w:t>
      </w:r>
      <w:r>
        <w:rPr>
          <w:rFonts w:hint="eastAsia" w:ascii="仿宋" w:hAnsi="仿宋" w:eastAsia="仿宋" w:cs="仿宋"/>
          <w:color w:val="auto"/>
          <w:sz w:val="24"/>
          <w:szCs w:val="24"/>
          <w:highlight w:val="none"/>
          <w:u w:val="single"/>
        </w:rPr>
        <w:t xml:space="preserve">不承担</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（2）因发包人原因未能按合同约定支付合同价款的违约责任：</w:t>
      </w:r>
      <w:r>
        <w:rPr>
          <w:rFonts w:hint="eastAsia" w:ascii="仿宋" w:hAnsi="仿宋" w:eastAsia="仿宋" w:cs="仿宋"/>
          <w:color w:val="auto"/>
          <w:sz w:val="24"/>
          <w:szCs w:val="24"/>
          <w:highlight w:val="none"/>
          <w:u w:val="single"/>
        </w:rPr>
        <w:t xml:space="preserve">不承担</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（3）发包人违反第10.1款〔变更的范围〕第（2）项约定，自行实施被取消的工作或转由他人实施的违约责任：</w:t>
      </w:r>
      <w:r>
        <w:rPr>
          <w:rFonts w:hint="eastAsia" w:ascii="仿宋" w:hAnsi="仿宋" w:eastAsia="仿宋" w:cs="仿宋"/>
          <w:color w:val="auto"/>
          <w:sz w:val="24"/>
          <w:szCs w:val="24"/>
          <w:highlight w:val="none"/>
          <w:u w:val="single"/>
        </w:rPr>
        <w:t xml:space="preserve"> 按通用条款执行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（5）因发包人违反合同约定造成暂停施工的违约责任：</w:t>
      </w:r>
      <w:r>
        <w:rPr>
          <w:rFonts w:hint="eastAsia" w:ascii="仿宋" w:hAnsi="仿宋" w:eastAsia="仿宋" w:cs="仿宋"/>
          <w:color w:val="auto"/>
          <w:sz w:val="24"/>
          <w:szCs w:val="24"/>
          <w:highlight w:val="none"/>
          <w:u w:val="single"/>
        </w:rPr>
        <w:t xml:space="preserve">按通用条款执行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（6）发包人无正当理由没有在约定期限内发出复工指示，导致承包人无法复工的违约责任：</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（7）其他：</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16.2承包人违约</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16.2.1承包人违约的情形</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承包人违约的其他情形：</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16.2.2承包人违约的责任</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承包人违约责任的承担方式和计算方法：</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16.2.2.1、在施工期间承包人如发生重大质量和安全事故，必须承担事故处理的一切费用、工程的恢复费用及因此造成后续工程延期费用（按照5000元/天计算），发包人有权终止合同并要求承包人退场，或减少其承包内容，所造成的损失由承包人承担。</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16.2.2.2、承包人不按期交付合格竣工图及竣工资料，发包人将推迟审核承包人决算时间，由此造成的损失由承包人承担，承包人还应向发包人支付每逾期一日5000元的违约金。</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16.2.2.3、如承包人未经发包人同意擅自将其在施工过程中获悉的发包人商业秘密向第三人泄露，情节严重的，发包人有权单方终止合同，同时承包人应按本合同总价款的10%标准支付违约金。如承包人支付了违约金后仍不能弥补因其泄露发包人商业秘密给发包人造成的经济损失的，承包人还应赔偿发包人的实际经济损失。 </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16.2.2.4、如承包人未能按本合同约定在工程竣工后及时清理垃圾、平整场地，则发包人有权自行清理垃圾、平整场地，承包人除应负担发包人因此而发生的费用外，还应按本合同总价款2%的标准向发包人支付违约金。</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16.2.2.5、本工程应达到发包人要求的质量标准，承包人应按照现行的国家施工验收规范和资料评定标准施工。如第一次工程竣工验收时工程质量达不到合格标准时，承包人自愿放弃50%部分的履约保证金；第二次工程竣工验收时工程质量仍达不到合格标准时，承包人自愿放弃全部履约保证金，同时向发包人支付5万元的违约金，且发包人有权终止合同并不再支付剩余工程款，承包人还应当另行承担因此给发包人造成的实际损失。</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16.2.2.6因承包人自身原因，造成工程达不到合格标准，发包人要求整改的，承包人整改所需时间计算在合同总工期内，逾期交付工程的，按照本合同相关条款支付违约金。</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16.2.2.7承包人进场后需执行监理单位下发的现场管理制度，如违反相关制度，承包人自愿按管理制度的相应的标准向发包人支付违约金。</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16.2.2.8工程发生质量事故的，除及时全部消除工程质量问题和处理事故外，还需向发包人支付违约金3万元/次，因事故纯属于发包人责任造成的承包人免责。</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16.2.2.9工程发生人身或者财产安全事故的，承包人向发包人支付违约金3万元/次。</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16.2.2.10现场质量或安全文明被主管部门通报批评的，承包人向发包人支付违约金3万元/次。</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16.2.2.11未按照施工过程中约定的节点或目标工期完成的，承包人向发包人支付违约金</w:t>
      </w: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rPr>
        <w:t xml:space="preserve">000元/天。现场例会制定的并经参会人员认可的节点，若到达节点未完成，按10000元/天承担违约金，超三天未完成，发包人有权终止合同，另行委托第三方施工至完成，所有费用由承包人承担。</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16.2.2.12承包人擅自施工的，承包人向发包人支付违约金2万元/次。</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16.2.2.13上道工序未经验收就擅自施工下道工序的，承包人向发包人支付违约金1万元/次。</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16.2.2.14关键工序施工方案未经论证或批准就进行施工的，承包人向发包人支付违约金5000元/次。</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16.2.2.15主要机械未经相关部门验收就投入使用的，承包人向发包人支付违约金2000元/次。</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16.2.2.16现场安全文明不达标的，连续2次被发包人书面批评的，承包人向发包人支付违约金2000元。</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16.2.2.17如承包人辱骂、殴打发包人及监理人工作人员，除依法承担行政处罚后果及赔偿受害人经济损失等法律责任外，承包人还应向发包人支付违约金10000元/次。</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16.2.2.18承包人无正当理由拒绝更换项目负责人的，应当向发包人支付2万元违约金，经发包人通知仍不整改的，承包人同意发包人终止合同。</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16.2.2.19、承包人主要施工管理人员不称职造成工程质量、安全管理、进度管理、文明管理明显无法达到原定计划标准时，发包人有权要求承包人在7日内撤换或调整其认为不称职的主要施工管理人员，承包人无正当理由拒绝撤换该主要施工管理人员的，自承包人接收发包人书面通知之日起，每延迟更换一天，应当向发包人支付5000元/人的违约金，直至将主要施工管理人员按照招标文件及本合同要求的称职人员之日止。承包人无正当理由拒绝更换的，发包人有权终止合同，并追究由此给发包人造成的一切损失。</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16.2.2.20承包人擅自更换主要施工管理人员，承包人应当向发包人支付5000元/人的违约金。</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16.2.2.21承包人未按时移交工程的，每延迟一天，承包人以合同总价千分之一的金额向发包人支付违约金。</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16.2.2.22因项目实施需要对原有工程进行拆除、破坏等情形，承包人负责修复至原状，修复质量满足不了现场要求的，由承包人负责返工，直至达到发包人要求为止，如发生修复不到位或不配合发包人指令等情形的，每有一次承包人向发包人支付违约金2000元。</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16.2.3本合同所列举的承包人应当支付的各种违约金，承包人同意发包人在支付当期工程款时先予扣除，而无需承包人书面确认。但发包人应当在扣除违约金时向承包人书面说明扣除违约金的事由。</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16.2.4因承包人违约解除合同</w:t>
      </w:r>
      <w:r/>
    </w:p>
    <w:p>
      <w:pPr>
        <w:ind w:firstLine="480"/>
        <w:keepLines w:val="0"/>
        <w:keepNext w:val="0"/>
        <w:pageBreakBefore w:val="0"/>
        <w:spacing w:before="120"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关于承包人违约终止合同的特别约定：</w:t>
      </w:r>
      <w:r>
        <w:rPr>
          <w:rFonts w:hint="eastAsia" w:ascii="仿宋" w:hAnsi="仿宋" w:eastAsia="仿宋" w:cs="仿宋"/>
          <w:color w:val="auto"/>
          <w:sz w:val="24"/>
          <w:szCs w:val="24"/>
          <w:highlight w:val="none"/>
          <w:u w:val="single"/>
        </w:rPr>
        <w:t xml:space="preserve">在本合同终止后，承包人必须在5日内无条件退场并完成清理工作。发包人将按承包人已完成合格工程量的60%给予结算，承包人并承担由此而给发包方造成的一切损失</w:t>
      </w:r>
      <w:r>
        <w:rPr>
          <w:rFonts w:hint="eastAsia" w:ascii="仿宋" w:hAnsi="仿宋" w:eastAsia="仿宋" w:cs="仿宋"/>
          <w:color w:val="auto"/>
          <w:sz w:val="24"/>
          <w:szCs w:val="24"/>
          <w:highlight w:val="none"/>
        </w:rPr>
        <w:t xml:space="preserve">。</w:t>
      </w:r>
      <w:r/>
    </w:p>
    <w:p>
      <w:pPr>
        <w:ind w:firstLine="480"/>
        <w:keepLines w:val="0"/>
        <w:keepNext w:val="0"/>
        <w:pageBreakBefore w:val="0"/>
        <w:spacing w:before="120"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16.2.5发包人继续使用承包人在施工现场的材料、设备、临时工程、承包人文件和由承包人或以其名义编制的其他文件的费用承担方式：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keepLines w:val="0"/>
        <w:keepNext w:val="0"/>
        <w:pageBreakBefore w:val="0"/>
        <w:spacing w:before="120" w:after="120" w:line="560" w:lineRule="exact"/>
        <w:widowControl w:val="off"/>
        <w:rPr>
          <w:rFonts w:hint="eastAsia" w:ascii="仿宋" w:hAnsi="仿宋" w:eastAsia="仿宋" w:cs="仿宋"/>
          <w:color w:val="auto"/>
          <w:sz w:val="24"/>
          <w:szCs w:val="24"/>
          <w:highlight w:val="none"/>
        </w:rPr>
        <w:outlineLvl w:val="3"/>
      </w:pPr>
      <w:r/>
      <w:bookmarkStart w:id="420" w:name="_Toc109"/>
      <w:r>
        <w:rPr>
          <w:rFonts w:hint="eastAsia" w:ascii="仿宋" w:hAnsi="仿宋" w:eastAsia="仿宋" w:cs="仿宋"/>
          <w:color w:val="auto"/>
          <w:sz w:val="24"/>
          <w:szCs w:val="24"/>
          <w:highlight w:val="none"/>
        </w:rPr>
        <w:t xml:space="preserve">17.不可抗力</w:t>
      </w:r>
      <w:bookmarkEnd w:id="420"/>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17.1不可抗力的确认</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除通用合同条款约定的不可抗力事件之外，视为不可抗力的其他情形：</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17.4因不可抗力解除合同</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合同解除后，发包人应在商定或确定发包人应支付款项后</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天内完成款项的支付。</w:t>
      </w:r>
      <w:r/>
    </w:p>
    <w:p>
      <w:pPr>
        <w:ind w:firstLine="480"/>
        <w:keepLines w:val="0"/>
        <w:keepNext w:val="0"/>
        <w:pageBreakBefore w:val="0"/>
        <w:spacing w:before="120" w:after="120" w:line="560" w:lineRule="exact"/>
        <w:widowControl w:val="off"/>
        <w:rPr>
          <w:rFonts w:hint="eastAsia" w:ascii="仿宋" w:hAnsi="仿宋" w:eastAsia="仿宋" w:cs="仿宋"/>
          <w:color w:val="auto"/>
          <w:sz w:val="24"/>
          <w:szCs w:val="24"/>
          <w:highlight w:val="none"/>
        </w:rPr>
        <w:outlineLvl w:val="3"/>
      </w:pPr>
      <w:r/>
      <w:bookmarkStart w:id="421" w:name="_Toc110"/>
      <w:r>
        <w:rPr>
          <w:rFonts w:hint="eastAsia" w:ascii="仿宋" w:hAnsi="仿宋" w:eastAsia="仿宋" w:cs="仿宋"/>
          <w:color w:val="auto"/>
          <w:sz w:val="24"/>
          <w:szCs w:val="24"/>
          <w:highlight w:val="none"/>
        </w:rPr>
        <w:t xml:space="preserve">18.保险</w:t>
      </w:r>
      <w:bookmarkEnd w:id="421"/>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18.1工程保险</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关于工程保险的特别约定：</w:t>
      </w:r>
      <w:r>
        <w:rPr>
          <w:rFonts w:hint="eastAsia" w:ascii="仿宋" w:hAnsi="仿宋" w:eastAsia="仿宋" w:cs="仿宋"/>
          <w:color w:val="auto"/>
          <w:sz w:val="24"/>
          <w:szCs w:val="24"/>
          <w:highlight w:val="none"/>
          <w:u w:val="single"/>
        </w:rPr>
        <w:t xml:space="preserve">承包人必须按国家或地方有关规定，对本工程施工作业人员办理意外伤害保险和第三方人身险,并承担保险费用。</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承包人须对与本工程有关或本工程进行期间发生或本工程引致的人身伤亡及财产损坏负费用、损失、索偿或诉讼等法律责任，并须保障发包人免负该等责任，除非有关伤亡是发包人所引致的</w:t>
      </w:r>
      <w:r>
        <w:rPr>
          <w:rFonts w:hint="eastAsia" w:ascii="仿宋" w:hAnsi="仿宋" w:eastAsia="仿宋" w:cs="仿宋"/>
          <w:color w:val="auto"/>
          <w:sz w:val="24"/>
          <w:szCs w:val="24"/>
          <w:highlight w:val="none"/>
        </w:rPr>
        <w:t xml:space="preserve">。</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18.3其他保险</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关于其他保险的约定：</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承包人是否应为其施工设备等办理财产保险：</w:t>
      </w:r>
      <w:r>
        <w:rPr>
          <w:rFonts w:hint="eastAsia" w:ascii="仿宋" w:hAnsi="仿宋" w:eastAsia="仿宋" w:cs="仿宋"/>
          <w:color w:val="auto"/>
          <w:sz w:val="24"/>
          <w:szCs w:val="24"/>
          <w:highlight w:val="none"/>
          <w:u w:val="single"/>
        </w:rPr>
        <w:t xml:space="preserve">承包人必须为其施工设备办理保险</w:t>
      </w:r>
      <w:r>
        <w:rPr>
          <w:rFonts w:hint="eastAsia" w:ascii="仿宋" w:hAnsi="仿宋" w:eastAsia="仿宋" w:cs="仿宋"/>
          <w:color w:val="auto"/>
          <w:sz w:val="24"/>
          <w:szCs w:val="24"/>
          <w:highlight w:val="none"/>
        </w:rPr>
        <w:t xml:space="preserve">。</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18.7通知义务</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关于变更保险合同时的通知义务的约定：</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双方住所地及其他联系方法发生变更的，应当及时通知对方。否则应当承担相应的法律后果。发包人向承包人发出的有关本合同履行的所有书面通知等文件既可直接或者邮寄送达，也可通过《宿迁日报》或者《宿迁晚报》刊登公告进行送达，报刊刊登公告的第三日即视为承包人接收。</w:t>
      </w:r>
      <w:r/>
    </w:p>
    <w:p>
      <w:pPr>
        <w:ind w:firstLine="480"/>
        <w:keepLines w:val="0"/>
        <w:keepNext w:val="0"/>
        <w:pageBreakBefore w:val="0"/>
        <w:spacing w:before="120" w:after="120" w:line="560" w:lineRule="exact"/>
        <w:widowControl w:val="off"/>
        <w:rPr>
          <w:rFonts w:hint="eastAsia" w:ascii="仿宋" w:hAnsi="仿宋" w:eastAsia="仿宋" w:cs="仿宋"/>
          <w:color w:val="auto"/>
          <w:sz w:val="24"/>
          <w:szCs w:val="24"/>
          <w:highlight w:val="none"/>
        </w:rPr>
        <w:outlineLvl w:val="3"/>
      </w:pPr>
      <w:r/>
      <w:bookmarkStart w:id="422" w:name="_Toc111"/>
      <w:r>
        <w:rPr>
          <w:rFonts w:hint="eastAsia" w:ascii="仿宋" w:hAnsi="仿宋" w:eastAsia="仿宋" w:cs="仿宋"/>
          <w:color w:val="auto"/>
          <w:sz w:val="24"/>
          <w:szCs w:val="24"/>
          <w:highlight w:val="none"/>
        </w:rPr>
        <w:t xml:space="preserve">20.争议解决</w:t>
      </w:r>
      <w:bookmarkEnd w:id="422"/>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20.3争议评审</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合同当事人是否同意将工程争议提交争议评审小组决定：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20.3.1争议评审小组的确定</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争议评审小组成员的确定：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选定争议评审员的期限：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争议评审小组成员的报酬承担方式：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其他事项的约定：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20.3.2争议评审小组的决定</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合同当事人关于本项的约定：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keepLines w:val="0"/>
        <w:keepNext w:val="0"/>
        <w:pageBreakBefore w:val="0"/>
        <w:spacing w:after="12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20.4诉讼</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因合同及合同有关事项发生的争议，向</w:t>
      </w:r>
      <w:r>
        <w:rPr>
          <w:rFonts w:hint="eastAsia" w:ascii="仿宋" w:hAnsi="仿宋" w:eastAsia="仿宋" w:cs="仿宋"/>
          <w:color w:val="auto"/>
          <w:sz w:val="24"/>
          <w:szCs w:val="24"/>
          <w:highlight w:val="none"/>
          <w:u w:val="single"/>
        </w:rPr>
        <w:t xml:space="preserve"> 工程所在地 </w:t>
      </w:r>
      <w:r>
        <w:rPr>
          <w:rFonts w:hint="eastAsia" w:ascii="仿宋" w:hAnsi="仿宋" w:eastAsia="仿宋" w:cs="仿宋"/>
          <w:color w:val="auto"/>
          <w:sz w:val="24"/>
          <w:szCs w:val="24"/>
          <w:highlight w:val="none"/>
        </w:rPr>
        <w:t xml:space="preserve">人民法院起诉。</w:t>
      </w:r>
      <w:r/>
    </w:p>
    <w:p>
      <w:pPr>
        <w:ind w:firstLine="480"/>
        <w:keepLines w:val="0"/>
        <w:keepNext w:val="0"/>
        <w:pageBreakBefore w:val="0"/>
        <w:spacing w:before="120" w:after="120" w:line="560" w:lineRule="exact"/>
        <w:widowControl w:val="off"/>
        <w:rPr>
          <w:rFonts w:hint="eastAsia" w:ascii="仿宋" w:hAnsi="仿宋" w:eastAsia="仿宋" w:cs="仿宋"/>
          <w:color w:val="auto"/>
          <w:sz w:val="24"/>
          <w:szCs w:val="24"/>
          <w:highlight w:val="none"/>
        </w:rPr>
        <w:outlineLvl w:val="3"/>
      </w:pPr>
      <w:r/>
      <w:bookmarkStart w:id="423" w:name="_Toc112"/>
      <w:r>
        <w:rPr>
          <w:rFonts w:hint="eastAsia" w:ascii="仿宋" w:hAnsi="仿宋" w:eastAsia="仿宋" w:cs="仿宋"/>
          <w:color w:val="auto"/>
          <w:sz w:val="24"/>
          <w:szCs w:val="24"/>
          <w:highlight w:val="none"/>
        </w:rPr>
        <w:t xml:space="preserve">21</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其他条款</w:t>
      </w:r>
      <w:bookmarkEnd w:id="423"/>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21.1如发现进场施工队伍与投标施工队伍有重大改变、或被他人挂靠、倒卖工程等现象，承包人向发包人支付100万元违约金，发包人有权将此情况通报给市公管办或其他相关部门。</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21.2承包人进场施工前必须按照主管部门的相关规定交纳农民工工资保证金。</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21.3承包人同意执行发包人相关文件的规定。</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如因承包人违约行为导致的与本合同有关的任何诉讼或者仲裁给发包人造成损失的，承包人应当赔偿发包人的直接损失和间接损失，包括但不限于发包人为主张权利而支付的诉讼费、仲裁费、鉴定费、评估费、交通差旅费、律师费等费用。</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21.5承包人进场后，应根据发包人要求配齐各专业人员。</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21.6承包人应对经发包人接受的其它承包人的施工进行管理，妥善处理好与其它工程承包人的关系，对施工有交叉、衔接的施工项目，承包人应按发包人要求做好交验、配合等工作，若出现矛盾或纠纷，承包人应无条件服从发包人或总监理工程师的安排和协调，并承担由此而引起的临时停工等风险，承包人也不得就此要求发包人给予额外费用补贴，由此发生的一切费用视为已计入投标报价中，由承包人自行承担。</w:t>
      </w:r>
      <w:r/>
    </w:p>
    <w:p>
      <w:pPr>
        <w:ind w:firstLine="480"/>
        <w:keepLines w:val="0"/>
        <w:keepNext w:val="0"/>
        <w:pageBreakBefore w:val="0"/>
        <w:spacing w:before="120" w:after="120"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21.7串通投标行为合同管理实施细则：</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（一）承包人被举报或经核查发现其存在法律法规所列串通投标或弄虚作假情形的，发包人应书面告知承包人。</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承包人应在接到发包人书面告知后7日内，向发包人提供相关举证材料。如承包人未能在规定时间内举证或其举证材料不足以排除其存在串通投标和弄虚作假行为的，均视同承包人存在违约责任，承包人应向发包人支付不低于合同金额3%的违约金。</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（三）承包人存在串通投标或弄虚作假行为，被行政监管部门查处并依法作出行政处罚的，不影响本合同违约责任履行，承包人仍须按合同约定向发包人支付违约金。</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（五）实行承包人项目管理机构主要成员现场签到考勤制度。项目管理机构主要成员每月出勤率不低于80%，否则，应向发包人支付不少于合同金额3%的违约金。</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w:t>
      </w:r>
      <w:r/>
    </w:p>
    <w:p>
      <w:pPr>
        <w:ind w:firstLine="480"/>
        <w:keepLines w:val="0"/>
        <w:keepNext w:val="0"/>
        <w:pageBreakBefore w:val="0"/>
        <w:spacing w:before="120" w:after="120"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21.8拖欠农民工工资问题合同管理实施细则，主要内容包括：</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（一）施工企业（包括施工总承包企业和分包企业，下同）按照《江苏省工程建设领域农民工工资支付管理办法》规定的标准交纳农民工工资保证金。</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（二）施工企业应在工程项目所在地银行开设农民工工资专用账户，专项用于支付农民工工资。</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（三）施工企业保证不克扣和拖欠工资，不以发包人拖欠工程款为由拖欠农民工工资。</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（五）施工方（承包人）应主动在规定时间内将农民工工资发放情况表报建设方（发包人）审定。建设方（发包人）应对施工方（承包人）实际支付农民工工资情况进行审查。</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施工方（承包人）未按上述（一）（二）（三）款规定履行合同义务的，应承担合同违约责任，并向建设方（发包人）支付实际拖欠农民工工资总额2倍的违约金。建设方（发包人）未按上述（四）款规定履行合同义务的，应承担合同违约责任，并向施工方（承包人）支付实际拖欠农民工工资总额2倍的违约金。</w:t>
      </w:r>
      <w:r/>
    </w:p>
    <w:p>
      <w:pPr>
        <w:ind w:firstLine="480"/>
        <w:keepLines w:val="0"/>
        <w:keepNext w:val="0"/>
        <w:pageBreakBefore w:val="0"/>
        <w:spacing w:before="120" w:after="120"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21.9转包违法分包行为合同管理实施细则：</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（二）转包、违法分包违约</w:t>
      </w:r>
      <w:r>
        <w:rPr>
          <w:rFonts w:hint="eastAsia" w:ascii="仿宋" w:hAnsi="仿宋" w:eastAsia="仿宋" w:cs="仿宋"/>
          <w:color w:val="auto"/>
          <w:sz w:val="24"/>
          <w:szCs w:val="24"/>
          <w:highlight w:val="none"/>
          <w:lang w:eastAsia="zh-CN"/>
        </w:rPr>
        <w:t xml:space="preserve">责任</w:t>
      </w:r>
      <w:r>
        <w:rPr>
          <w:rFonts w:hint="eastAsia" w:ascii="仿宋" w:hAnsi="仿宋" w:eastAsia="仿宋" w:cs="仿宋"/>
          <w:color w:val="auto"/>
          <w:sz w:val="24"/>
          <w:szCs w:val="24"/>
          <w:highlight w:val="none"/>
        </w:rPr>
        <w:t xml:space="preserve">。承包人不得将承包工程进行转包或违法分包。经核查，发现承包人存在法律法规及《住房和城乡建设部关于印发建筑工程施工发包与承包违法行为认定查处管理办法的通知》（建市规〔201</w:t>
      </w:r>
      <w:r>
        <w:rPr>
          <w:rFonts w:hint="eastAsia" w:ascii="仿宋" w:hAnsi="仿宋" w:eastAsia="仿宋" w:cs="仿宋"/>
          <w:color w:val="auto"/>
          <w:sz w:val="24"/>
          <w:szCs w:val="24"/>
          <w:highlight w:val="none"/>
        </w:rPr>
        <w:t xml:space="preserve">9〕1号）第七条、第八条、第十一条及第十二条规定的转包、违法分包情形的，发包人应书面告知承包人。承包人应在接到书面告知后7日内，向发包人提供相关证明材料。承包人未能在规定时间内举证或其证明材料不足以排除承包人存在转包、违法分包行为的，视同承包人存在违约责任，承包人应向发包人支付不低于合同金额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（三）承包人同意执行发包人相关文件的规定。</w:t>
      </w:r>
      <w:r/>
    </w:p>
    <w:p>
      <w:pPr>
        <w:ind w:firstLine="480"/>
        <w:keepLines w:val="0"/>
        <w:keepNext w:val="0"/>
        <w:pageBreakBefore w:val="0"/>
        <w:spacing w:before="120" w:after="120" w:line="56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21.10环境污染行为合同管理实施细则，主要包括以下内容：</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（一）项目开工前，施工方（承包人）主动履行污染物排放申报制度，积极完善各项申报手续。</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（二）禁止违法夜间施工，杜绝噪声扰民现象发生。</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（三）施工、作业现场采取隔离洒水、围挡、场地硬化、料场遮盖等措施，防止扬尘污染。</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（四）商品混凝土、建筑物料、垃圾、渣土运输车辆密闭、进出施工现场进行冲洗，严防沿途抛洒、扬散。</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施工方（承包人）违反本条规定情形的，每发生一次应向建设方（发包人）支付1万元至5万元违约金。</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建筑物料供应、渣土运输等服务方在物料供应、运输服务过程中，违反本条规定情形，导致建筑物料、渣土等沿途抛洒、扬散的，每发生一次，应由施工方（承包人）向建设方（发包人）支付1万元至5万元违约金。</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21.10如因承包人原因导致发包人或其他方被主管部门处罚，涉及相关费用由承包人全部承担。</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21.11材料设备中已推荐品牌的，宜在已推荐品牌中选用，品牌、型号及系列号等必须经发包人书面同意后方可进场使用，否则发包人有权不予支付相关工程价款；材料设备中未推荐品牌的，品牌、型号及系列号等也必须经发包人书面同意后方可进场使用，否则发包人有权不予支付相关工程价款。</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21.12承包企业应当在项目所在地选择固定银行开设专款专用账户，并与建设单位、固定银行签订三方协议，委托固定银行负责日常监管，确保资金专项用于本项目建设。</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21.13因政策、法规等原因造成本合同无效、终止，不影响本合同计价、付款、违约等有关清算、结算条款的效力。</w:t>
      </w:r>
      <w:r/>
    </w:p>
    <w:p>
      <w:pPr>
        <w:jc w:val="left"/>
        <w:spacing w:line="3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left"/>
        <w:spacing w:line="3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left"/>
        <w:spacing w:line="3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附件</w:t>
      </w:r>
      <w:r/>
    </w:p>
    <w:p>
      <w:pPr>
        <w:jc w:val="left"/>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附件1：工程质量保修书</w:t>
      </w:r>
      <w:r/>
    </w:p>
    <w:p>
      <w:pPr>
        <w:jc w:val="left"/>
        <w:spacing w:line="3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附件2：安全生产合同</w:t>
      </w:r>
      <w:r/>
    </w:p>
    <w:p>
      <w:pPr>
        <w:jc w:val="left"/>
        <w:spacing w:before="156" w:after="156"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spacing w:line="3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附件1：</w:t>
      </w:r>
      <w:r/>
    </w:p>
    <w:p>
      <w:pPr>
        <w:jc w:val="center"/>
        <w:spacing w:before="312" w:after="156" w:line="3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工程质量保修书</w:t>
      </w:r>
      <w:r/>
    </w:p>
    <w:p>
      <w:pPr>
        <w:ind w:firstLine="482"/>
        <w:keepLines w:val="0"/>
        <w:keepNext w:val="0"/>
        <w:pageBreakBefore w:val="0"/>
        <w:spacing w:line="56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 xml:space="preserve">发包人（全称）</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lang w:eastAsia="zh-CN"/>
        </w:rPr>
        <w:t xml:space="preserve">宿迁幼儿师范高等专科学校</w:t>
      </w:r>
      <w:r/>
    </w:p>
    <w:p>
      <w:pPr>
        <w:ind w:firstLine="482"/>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b/>
          <w:bCs/>
          <w:color w:val="auto"/>
          <w:sz w:val="24"/>
          <w:szCs w:val="24"/>
          <w:highlight w:val="none"/>
        </w:rPr>
        <w:t xml:space="preserve">承包人（全称）</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发包人和承包人根据《中华人民共和国建筑法》和《建设工程质量管理条例》，经协商一致就签订工程质量保修书。</w:t>
      </w:r>
      <w:r/>
    </w:p>
    <w:p>
      <w:pPr>
        <w:ind w:firstLine="482"/>
        <w:keepLines w:val="0"/>
        <w:keepNext w:val="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一、工程质量保修范围和内容</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承包人在质量保修期内，按照有关法律规定和合同约定，承担工程质量保修责任。</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质量保修范围包括</w:t>
      </w:r>
      <w:r>
        <w:rPr>
          <w:rFonts w:hint="eastAsia" w:ascii="仿宋" w:hAnsi="仿宋" w:eastAsia="仿宋" w:cs="仿宋"/>
          <w:color w:val="auto"/>
          <w:sz w:val="24"/>
          <w:szCs w:val="24"/>
          <w:highlight w:val="none"/>
          <w:u w:val="single"/>
        </w:rPr>
        <w:t xml:space="preserve">全部</w:t>
      </w:r>
      <w:r>
        <w:rPr>
          <w:rFonts w:hint="eastAsia" w:ascii="仿宋" w:hAnsi="仿宋" w:eastAsia="仿宋" w:cs="仿宋"/>
          <w:color w:val="auto"/>
          <w:sz w:val="24"/>
          <w:szCs w:val="24"/>
          <w:highlight w:val="none"/>
          <w:u w:val="single"/>
          <w:lang w:eastAsia="zh-CN"/>
        </w:rPr>
        <w:t xml:space="preserve">改造</w:t>
      </w:r>
      <w:r>
        <w:rPr>
          <w:rFonts w:hint="eastAsia" w:ascii="仿宋" w:hAnsi="仿宋" w:eastAsia="仿宋" w:cs="仿宋"/>
          <w:color w:val="auto"/>
          <w:sz w:val="24"/>
          <w:szCs w:val="24"/>
          <w:highlight w:val="none"/>
          <w:u w:val="single"/>
        </w:rPr>
        <w:t xml:space="preserve">工程</w:t>
      </w:r>
      <w:r>
        <w:rPr>
          <w:rFonts w:hint="eastAsia" w:ascii="仿宋" w:hAnsi="仿宋" w:eastAsia="仿宋" w:cs="仿宋"/>
          <w:color w:val="auto"/>
          <w:sz w:val="24"/>
          <w:szCs w:val="24"/>
          <w:highlight w:val="none"/>
        </w:rPr>
        <w:t xml:space="preserve">。具体保修的内容，双方约定如下：</w:t>
      </w:r>
      <w:r>
        <w:rPr>
          <w:rFonts w:hint="eastAsia" w:ascii="仿宋" w:hAnsi="仿宋" w:eastAsia="仿宋" w:cs="仿宋"/>
          <w:color w:val="auto"/>
          <w:sz w:val="24"/>
          <w:szCs w:val="24"/>
          <w:highlight w:val="none"/>
          <w:u w:val="single"/>
        </w:rPr>
        <w:t xml:space="preserve">全部</w:t>
      </w:r>
      <w:r>
        <w:rPr>
          <w:rFonts w:hint="eastAsia" w:ascii="仿宋" w:hAnsi="仿宋" w:eastAsia="仿宋" w:cs="仿宋"/>
          <w:color w:val="auto"/>
          <w:sz w:val="24"/>
          <w:szCs w:val="24"/>
          <w:highlight w:val="none"/>
          <w:u w:val="single"/>
          <w:lang w:eastAsia="zh-CN"/>
        </w:rPr>
        <w:t xml:space="preserve">改造</w:t>
      </w:r>
      <w:r>
        <w:rPr>
          <w:rFonts w:hint="eastAsia" w:ascii="仿宋" w:hAnsi="仿宋" w:eastAsia="仿宋" w:cs="仿宋"/>
          <w:color w:val="auto"/>
          <w:sz w:val="24"/>
          <w:szCs w:val="24"/>
          <w:highlight w:val="none"/>
          <w:u w:val="single"/>
        </w:rPr>
        <w:t xml:space="preserve">工程</w:t>
      </w:r>
      <w:r>
        <w:rPr>
          <w:rFonts w:hint="eastAsia" w:ascii="仿宋" w:hAnsi="仿宋" w:eastAsia="仿宋" w:cs="仿宋"/>
          <w:color w:val="auto"/>
          <w:sz w:val="24"/>
          <w:szCs w:val="24"/>
          <w:highlight w:val="none"/>
        </w:rPr>
        <w:t xml:space="preserve">。</w:t>
      </w:r>
      <w:r/>
    </w:p>
    <w:p>
      <w:pPr>
        <w:ind w:firstLine="482"/>
        <w:keepLines w:val="0"/>
        <w:keepNext w:val="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二、质量保修期</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根据《建设工程质量管理条例》及有关规定，工程的质量保修期如下：</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1.地基基础工程和主体结构工程为设计文件规定的工程合理使用年限；</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2.屋面防水工程、有防水要求的卫生间、房间和外墙面的防渗为</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lang w:val="en-US" w:eastAsia="zh-CN"/>
        </w:rPr>
        <w:t xml:space="preserve">年；</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3.装修工程为</w:t>
      </w: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lang w:val="en-US" w:eastAsia="zh-CN"/>
        </w:rPr>
        <w:t xml:space="preserve">年；</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4.电气管线、给排水管道、设备安装工程为</w:t>
      </w: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lang w:val="en-US" w:eastAsia="zh-CN"/>
        </w:rPr>
        <w:t xml:space="preserve">年；</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5.供热与供冷系统为</w:t>
      </w: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lang w:val="en-US" w:eastAsia="zh-CN"/>
        </w:rPr>
        <w:t xml:space="preserve">个采暖期、供冷期；</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6.住宅小区内的给排水设施、道路等配套工程为</w:t>
      </w: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lang w:val="en-US" w:eastAsia="zh-CN"/>
        </w:rPr>
        <w:t xml:space="preserve">年；</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7.其他项目保修期限约定如下：</w:t>
      </w: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lang w:val="en-US" w:eastAsia="zh-CN"/>
        </w:rPr>
        <w:t xml:space="preserve">年。</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质量保修期自工程竣工验收合格之日起计算。</w:t>
      </w:r>
      <w:r/>
    </w:p>
    <w:p>
      <w:pPr>
        <w:ind w:firstLine="482"/>
        <w:keepLines w:val="0"/>
        <w:keepNext w:val="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三、缺陷责任期</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工程缺陷责任期为</w:t>
      </w:r>
      <w:r>
        <w:rPr>
          <w:rFonts w:hint="eastAsia" w:ascii="仿宋" w:hAnsi="仿宋" w:eastAsia="仿宋" w:cs="仿宋"/>
          <w:color w:val="auto"/>
          <w:sz w:val="24"/>
          <w:szCs w:val="24"/>
          <w:highlight w:val="none"/>
          <w:u w:val="single"/>
        </w:rPr>
        <w:t xml:space="preserve">24</w:t>
      </w:r>
      <w:r>
        <w:rPr>
          <w:rFonts w:hint="eastAsia" w:ascii="仿宋" w:hAnsi="仿宋" w:eastAsia="仿宋" w:cs="仿宋"/>
          <w:color w:val="auto"/>
          <w:sz w:val="24"/>
          <w:szCs w:val="24"/>
          <w:highlight w:val="none"/>
        </w:rPr>
        <w:t xml:space="preserve">个月，缺陷责任期自工程竣工验收合格之日起计算。单位工程先于全部工程进行验收，单位工程缺陷责任期自单位工程验收合格之日起算。</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缺陷责任期终止后，发包人应退还剩余的质量保证金。</w:t>
      </w:r>
      <w:r/>
    </w:p>
    <w:p>
      <w:pPr>
        <w:ind w:firstLine="482"/>
        <w:keepLines w:val="0"/>
        <w:keepNext w:val="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四、质量保修责任</w:t>
      </w:r>
      <w:r/>
    </w:p>
    <w:p>
      <w:pPr>
        <w:ind w:left="105"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1．属于保修范围、内容的项目，承包人应当在接到保修通知之日起7日内派人到场保修。承包人不在约定期限内派人到场保修的，发包人可以委托他人修理，由此产生的费用由承包人承担。</w:t>
      </w:r>
      <w:r/>
    </w:p>
    <w:p>
      <w:pPr>
        <w:ind w:left="105"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2．发生紧急事故需抢修的，承包人在接到事故通知后，应当立即到达事故现场抢修。承包人不在约定期限内派人抢修的，发包人可以委托他人修理，由此产生的费用由承包人承担。</w:t>
      </w:r>
      <w:r/>
    </w:p>
    <w:p>
      <w:pPr>
        <w:ind w:left="105"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4．质量保修完成后，由发包人组织验收。</w:t>
      </w:r>
      <w:r/>
    </w:p>
    <w:p>
      <w:pPr>
        <w:ind w:firstLine="482"/>
        <w:keepLines w:val="0"/>
        <w:keepNext w:val="0"/>
        <w:pageBreakBefore w:val="0"/>
        <w:spacing w:line="5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五、保修费用</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保修费用由造成质量缺陷的责任方承担。</w:t>
      </w:r>
      <w:r/>
    </w:p>
    <w:p>
      <w:pPr>
        <w:ind w:firstLine="482"/>
        <w:keepLines w:val="0"/>
        <w:keepNext w:val="0"/>
        <w:pageBreakBefore w:val="0"/>
        <w:spacing w:line="560" w:lineRule="exact"/>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六、双方约定的其他工程质量保修事项：</w:t>
      </w:r>
      <w:r>
        <w:rPr>
          <w:rFonts w:hint="eastAsia" w:ascii="仿宋" w:hAnsi="仿宋" w:eastAsia="仿宋" w:cs="仿宋"/>
          <w:b/>
          <w:bCs w:val="0"/>
          <w:color w:val="auto"/>
          <w:sz w:val="24"/>
          <w:szCs w:val="24"/>
          <w:highlight w:val="none"/>
          <w:u w:val="single"/>
        </w:rPr>
        <w:t xml:space="preserve">    </w:t>
      </w:r>
      <w:r>
        <w:rPr>
          <w:rFonts w:hint="eastAsia" w:ascii="仿宋" w:hAnsi="仿宋" w:eastAsia="仿宋" w:cs="仿宋"/>
          <w:b/>
          <w:bCs w:val="0"/>
          <w:color w:val="auto"/>
          <w:sz w:val="24"/>
          <w:szCs w:val="24"/>
          <w:highlight w:val="none"/>
        </w:rPr>
        <w:t xml:space="preserve">。</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工程质量保修书由发包人、承包人在工程竣工验收前共同签署，作为施工合同附件，其有效期限至保修期满。</w:t>
      </w:r>
      <w:bookmarkEnd w:id="252"/>
      <w:r/>
      <w:bookmarkEnd w:id="278"/>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w:t>
      </w:r>
      <w:r>
        <w:rPr>
          <w:rFonts w:hint="eastAsia" w:ascii="仿宋" w:hAnsi="仿宋" w:eastAsia="仿宋" w:cs="仿宋"/>
          <w:color w:val="auto"/>
          <w:sz w:val="24"/>
          <w:szCs w:val="24"/>
          <w:highlight w:val="none"/>
          <w:u w:val="single"/>
        </w:rPr>
        <w:t xml:space="preserve"> （公章）             </w:t>
      </w:r>
      <w:r>
        <w:rPr>
          <w:rFonts w:hint="eastAsia" w:ascii="仿宋" w:hAnsi="仿宋" w:eastAsia="仿宋" w:cs="仿宋"/>
          <w:color w:val="auto"/>
          <w:sz w:val="24"/>
          <w:szCs w:val="24"/>
          <w:highlight w:val="none"/>
        </w:rPr>
        <w:t xml:space="preserve">          承包人：</w:t>
      </w:r>
      <w:r>
        <w:rPr>
          <w:rFonts w:hint="eastAsia" w:ascii="仿宋" w:hAnsi="仿宋" w:eastAsia="仿宋" w:cs="仿宋"/>
          <w:color w:val="auto"/>
          <w:sz w:val="24"/>
          <w:szCs w:val="24"/>
          <w:highlight w:val="none"/>
          <w:u w:val="single"/>
        </w:rPr>
        <w:t xml:space="preserve">  （公章）        </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rPr>
        <w:t xml:space="preserve">                                地  址：</w:t>
      </w:r>
      <w:r>
        <w:rPr>
          <w:rFonts w:hint="eastAsia" w:ascii="仿宋" w:hAnsi="仿宋" w:eastAsia="仿宋" w:cs="仿宋"/>
          <w:color w:val="auto"/>
          <w:sz w:val="24"/>
          <w:szCs w:val="24"/>
          <w:highlight w:val="none"/>
          <w:u w:val="single"/>
        </w:rPr>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法定代表人(签章)：</w:t>
      </w:r>
      <w:r>
        <w:rPr>
          <w:rFonts w:hint="eastAsia" w:ascii="仿宋" w:hAnsi="仿宋" w:eastAsia="仿宋" w:cs="仿宋"/>
          <w:color w:val="auto"/>
          <w:sz w:val="24"/>
          <w:szCs w:val="24"/>
          <w:highlight w:val="none"/>
        </w:rPr>
        <w:t xml:space="preserve">                      法定代表人(签章)：</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委托代理人(签章)：</w:t>
      </w:r>
      <w:r>
        <w:rPr>
          <w:rFonts w:hint="eastAsia" w:ascii="仿宋" w:hAnsi="仿宋" w:eastAsia="仿宋" w:cs="仿宋"/>
          <w:color w:val="auto"/>
          <w:sz w:val="24"/>
          <w:szCs w:val="24"/>
          <w:highlight w:val="none"/>
        </w:rPr>
        <w:t xml:space="preserve">                      委托代理人(签章)：</w:t>
      </w:r>
      <w:r>
        <w:rPr>
          <w:rFonts w:hint="eastAsia" w:ascii="仿宋" w:hAnsi="仿宋" w:eastAsia="仿宋" w:cs="仿宋"/>
          <w:color w:val="auto"/>
          <w:sz w:val="24"/>
          <w:szCs w:val="24"/>
          <w:highlight w:val="none"/>
          <w:u w:val="single"/>
        </w:rPr>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rPr>
          <w:rFonts w:hint="eastAsia" w:ascii="仿宋" w:hAnsi="仿宋" w:eastAsia="仿宋" w:cs="仿宋"/>
          <w:color w:val="auto"/>
          <w:sz w:val="24"/>
          <w:szCs w:val="24"/>
          <w:highlight w:val="none"/>
        </w:rPr>
        <w:t xml:space="preserve">                                电  话：</w:t>
      </w:r>
      <w:r>
        <w:rPr>
          <w:rFonts w:hint="eastAsia" w:ascii="仿宋" w:hAnsi="仿宋" w:eastAsia="仿宋" w:cs="仿宋"/>
          <w:color w:val="auto"/>
          <w:sz w:val="24"/>
          <w:szCs w:val="24"/>
          <w:highlight w:val="none"/>
          <w:u w:val="single"/>
        </w:rPr>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rPr>
          <w:rFonts w:hint="eastAsia" w:ascii="仿宋" w:hAnsi="仿宋" w:eastAsia="仿宋" w:cs="仿宋"/>
          <w:color w:val="auto"/>
          <w:sz w:val="24"/>
          <w:szCs w:val="24"/>
          <w:highlight w:val="none"/>
        </w:rPr>
        <w:t xml:space="preserve">                                传  真：</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rPr>
          <w:rFonts w:hint="eastAsia" w:ascii="仿宋" w:hAnsi="仿宋" w:eastAsia="仿宋" w:cs="仿宋"/>
          <w:color w:val="auto"/>
          <w:sz w:val="24"/>
          <w:szCs w:val="24"/>
          <w:highlight w:val="none"/>
          <w:u w:val="single"/>
        </w:rPr>
      </w:r>
      <w:r>
        <w:rPr>
          <w:rFonts w:hint="eastAsia" w:ascii="仿宋" w:hAnsi="仿宋" w:eastAsia="仿宋" w:cs="仿宋"/>
          <w:color w:val="auto"/>
          <w:sz w:val="24"/>
          <w:szCs w:val="24"/>
          <w:highlight w:val="none"/>
        </w:rPr>
        <w:t xml:space="preserve">                              开户银行：</w:t>
      </w:r>
      <w:r>
        <w:rPr>
          <w:rFonts w:hint="eastAsia" w:ascii="仿宋" w:hAnsi="仿宋" w:eastAsia="仿宋" w:cs="仿宋"/>
          <w:color w:val="auto"/>
          <w:sz w:val="24"/>
          <w:szCs w:val="24"/>
          <w:highlight w:val="none"/>
          <w:u w:val="single"/>
        </w:rPr>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w:t>
      </w:r>
      <w:r>
        <w:rPr>
          <w:rFonts w:hint="eastAsia" w:ascii="仿宋" w:hAnsi="仿宋" w:eastAsia="仿宋" w:cs="仿宋"/>
          <w:color w:val="auto"/>
          <w:sz w:val="24"/>
          <w:szCs w:val="24"/>
          <w:highlight w:val="none"/>
        </w:rPr>
        <w:t xml:space="preserve">                                账  号：</w:t>
      </w:r>
      <w:r>
        <w:rPr>
          <w:rFonts w:hint="eastAsia" w:ascii="仿宋" w:hAnsi="仿宋" w:eastAsia="仿宋" w:cs="仿宋"/>
          <w:color w:val="auto"/>
          <w:sz w:val="24"/>
          <w:szCs w:val="24"/>
          <w:highlight w:val="none"/>
          <w:u w:val="single"/>
        </w:rPr>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邮政编码：</w:t>
      </w:r>
      <w:r>
        <w:rPr>
          <w:rFonts w:hint="eastAsia" w:ascii="仿宋" w:hAnsi="仿宋" w:eastAsia="仿宋" w:cs="仿宋"/>
          <w:color w:val="auto"/>
          <w:sz w:val="24"/>
          <w:szCs w:val="24"/>
          <w:highlight w:val="none"/>
        </w:rPr>
        <w:t xml:space="preserve">                                邮政编码：</w:t>
      </w:r>
      <w:r>
        <w:rPr>
          <w:rFonts w:hint="eastAsia" w:ascii="仿宋" w:hAnsi="仿宋" w:eastAsia="仿宋" w:cs="仿宋"/>
          <w:color w:val="auto"/>
          <w:sz w:val="24"/>
          <w:szCs w:val="24"/>
          <w:highlight w:val="none"/>
          <w:u w:val="single"/>
        </w:rPr>
      </w:r>
      <w:r/>
    </w:p>
    <w:p>
      <w:pPr>
        <w:ind w:firstLine="480"/>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br w:type="page" w:clear="all"/>
      </w:r>
      <w:r/>
    </w:p>
    <w:p>
      <w:pPr>
        <w:jc w:val="both"/>
        <w:spacing w:line="36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附件2</w:t>
      </w:r>
      <w:r/>
    </w:p>
    <w:p>
      <w:pPr>
        <w:jc w:val="center"/>
        <w:spacing w:line="36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安全生产合同</w:t>
      </w:r>
      <w:r/>
    </w:p>
    <w:p>
      <w:pPr>
        <w:ind w:firstLine="480"/>
        <w:jc w:val="both"/>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t xml:space="preserve">为在程改</w:t>
      </w:r>
      <w:r>
        <w:rPr>
          <w:rFonts w:hint="eastAsia" w:ascii="仿宋" w:hAnsi="仿宋" w:eastAsia="仿宋" w:cs="仿宋"/>
          <w:b w:val="0"/>
          <w:bCs w:val="0"/>
          <w:color w:val="auto"/>
          <w:sz w:val="24"/>
          <w:szCs w:val="24"/>
          <w:highlight w:val="none"/>
          <w:u w:val="single"/>
          <w:lang w:val="en-US" w:eastAsia="zh-CN" w:bidi="ar-SA"/>
        </w:rPr>
        <w:t xml:space="preserve">宿迁幼儿师范高等专科学校泽园一、二、三宿舍公寓化维修改造工程</w:t>
      </w:r>
      <w:r>
        <w:rPr>
          <w:rFonts w:hint="eastAsia" w:ascii="仿宋" w:hAnsi="仿宋" w:eastAsia="仿宋" w:cs="仿宋"/>
          <w:b w:val="0"/>
          <w:bCs w:val="0"/>
          <w:color w:val="auto"/>
          <w:sz w:val="24"/>
          <w:szCs w:val="24"/>
          <w:highlight w:val="none"/>
          <w:lang w:val="en-US" w:eastAsia="zh-CN" w:bidi="ar-SA"/>
        </w:rPr>
        <w:t xml:space="preserve">施工合同的实施过程中创造安全、高效的施工环境，切实搞好本项目的安全管理工作，本项目发包人</w:t>
      </w:r>
      <w:r>
        <w:rPr>
          <w:rFonts w:hint="eastAsia" w:ascii="仿宋" w:hAnsi="仿宋" w:eastAsia="仿宋" w:cs="仿宋"/>
          <w:b w:val="0"/>
          <w:bCs w:val="0"/>
          <w:color w:val="auto"/>
          <w:sz w:val="24"/>
          <w:szCs w:val="24"/>
          <w:highlight w:val="none"/>
          <w:u w:val="single"/>
          <w:lang w:val="en-US" w:eastAsia="zh-CN" w:bidi="ar-SA"/>
        </w:rPr>
        <w:t xml:space="preserve">宿迁幼儿师范高等专科学校</w:t>
      </w:r>
      <w:r>
        <w:rPr>
          <w:rFonts w:hint="eastAsia" w:ascii="仿宋" w:hAnsi="仿宋" w:eastAsia="仿宋" w:cs="仿宋"/>
          <w:b w:val="0"/>
          <w:bCs w:val="0"/>
          <w:color w:val="auto"/>
          <w:sz w:val="24"/>
          <w:szCs w:val="24"/>
          <w:highlight w:val="none"/>
          <w:lang w:val="en-US" w:eastAsia="zh-CN" w:bidi="ar-SA"/>
        </w:rPr>
        <w:t xml:space="preserve">（发包人名称，以下简称“发包人”）与施工单位（施工单位名称，以下简称“承包人”）特此签订安全生产合同：</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1.发包人职责</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（1）严格遵守国家有关安全生产的法律法规，认真执行工程承包合同中的有关安全要求。</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（2）按照“安全第一、预防为主”和坚持“管生产必须管安全”的原则进行安全生产管理，做到生产与安全工作同时计划、布置、检查、总结和评比。</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（3）重要的安全设施必须坚持与主体工程“三同时”的原则，即：同时设计、审批，同时施工，同时验收，投入使用。</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（4）定期召开安全生产调度会，及时传达中央及地方有关安全生产的精神。</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（5）组织对承包人施工现场安全生产检查，监督承包人及时处理发现的各种安全隐患。</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2.承包人职责</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（1）严格遵守《中华人民共和国安全生产法》、《建设工程安全生产管理条例》等国家有关安全生产的法律法规等有关安全生产的规定。认真执行工程承包合同中的有关安全要求。</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建立健全安全生产责任制。从派往项目实施的项目经理到生产工人（包括临时雇请的民工）的安全生产管理系统必须做到纵向到底，—环不漏；各职能部门、人员的安全生产责任制做到横向到边，人人有责。项目经理是安全生产的第一责任人。现场设置的安全机构，应按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（4）承包人在任何时候都应采取各种合理的预防措施，防止其员工发生任何违法、违纪、暴力或妨碍治安的行为。</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承包人必须具有劳动安全管理部门颁发的安全生产考核合格证书，参加施工的人员，必须接受安全技术教育，熟知和遵守本工种的各项安全技术操作规程，定期进行安全技术考核，合格者方准上岗操作。特殊工种的人员，经过专业培训，获得《安全操作合格证》后，方准持证上岗。施工现场如出现特种作业无证操作现象时，项目经理必须承担管理责任。</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（7）操作人员上岗，必须按规定穿戴防护用品。施工负责人和安全检查员应随时检查劳动防护用品的穿戴情况，不按规定穿戴防护用品的人员不得上岗。</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（8）所有施工机具设备和高空作业的设备均应定期检查，并有安全员的签字记录，保证其经常处于完好状态；不合格的机具、设备和劳动保护用品严禁使用：</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（9）施工中采用新技术、新工艺、新设备、新材料时，必须制定相应的安全技术措施，施工现场必须具有相关的安全标志牌。</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（11）安全文明施工费用按照相关规定使用和管理。</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3.违约责任</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如因发包人或承包人违约造成安全事故，将依法追究责任。</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4.本合同由双方法定代表人或其授权的代理人签署并加盖单位公章后生效，全部工程竣工验收后失效。</w:t>
      </w:r>
      <w:r/>
    </w:p>
    <w:p>
      <w:pPr>
        <w:ind w:firstLine="480"/>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5.本合同正本—式陆份，双方各叁份。</w:t>
      </w:r>
      <w:r/>
    </w:p>
    <w:p>
      <w:pPr>
        <w:ind w:firstLine="480"/>
        <w:jc w:val="both"/>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r>
      <w:r/>
    </w:p>
    <w:p>
      <w:pPr>
        <w:ind w:firstLine="482"/>
        <w:jc w:val="both"/>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t xml:space="preserve">发包人：（盖单位章）                   承包人：（盖单位章）</w:t>
      </w:r>
      <w:r/>
    </w:p>
    <w:p>
      <w:pPr>
        <w:ind w:firstLine="482"/>
        <w:jc w:val="both"/>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t xml:space="preserve">法定代表人或其委托代理人：             法定代表人或其委托代理人：</w:t>
      </w:r>
      <w:r/>
    </w:p>
    <w:p>
      <w:pPr>
        <w:ind w:firstLine="482"/>
        <w:jc w:val="both"/>
        <w:keepLines w:val="0"/>
        <w:keepNext w:val="0"/>
        <w:pageBreakBefore w:val="0"/>
        <w:spacing w:line="560" w:lineRule="exact"/>
        <w:widowControl w:val="off"/>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t xml:space="preserve">年    月    日                          年    月    日</w:t>
      </w:r>
      <w:bookmarkEnd w:id="250"/>
      <w:r/>
      <w:r/>
    </w:p>
    <w:p>
      <w:pPr>
        <w:rPr>
          <w:rFonts w:hint="eastAsia" w:ascii="仿宋" w:hAnsi="仿宋" w:eastAsia="仿宋" w:cs="仿宋"/>
          <w:color w:val="auto"/>
        </w:rPr>
      </w:pPr>
      <w:r>
        <w:rPr>
          <w:rFonts w:hint="eastAsia" w:ascii="仿宋" w:hAnsi="仿宋" w:eastAsia="仿宋" w:cs="仿宋"/>
          <w:color w:val="auto"/>
        </w:rPr>
      </w:r>
      <w:r/>
    </w:p>
    <w:p>
      <w:pPr>
        <w:jc w:val="center"/>
        <w:keepNext/>
        <w:pageBreakBefore w:val="0"/>
        <w:spacing w:line="500" w:lineRule="exact"/>
        <w:rPr>
          <w:rFonts w:hint="eastAsia" w:ascii="仿宋" w:hAnsi="仿宋" w:eastAsia="仿宋" w:cs="仿宋"/>
          <w:color w:val="auto"/>
          <w:sz w:val="44"/>
          <w:szCs w:val="44"/>
          <w:highlight w:val="none"/>
        </w:rPr>
        <w:outlineLvl w:val="0"/>
      </w:pPr>
      <w:r/>
      <w:bookmarkStart w:id="424" w:name="_Toc113"/>
      <w:r>
        <w:rPr>
          <w:rFonts w:hint="eastAsia" w:ascii="仿宋" w:hAnsi="仿宋" w:eastAsia="仿宋" w:cs="仿宋"/>
          <w:bCs/>
          <w:color w:val="auto"/>
          <w:sz w:val="44"/>
          <w:szCs w:val="21"/>
          <w:highlight w:val="none"/>
        </w:rPr>
        <w:br w:type="page" w:clear="all"/>
      </w:r>
      <w:r>
        <w:rPr>
          <w:rFonts w:hint="eastAsia" w:ascii="仿宋" w:hAnsi="仿宋" w:eastAsia="仿宋" w:cs="仿宋"/>
          <w:b/>
          <w:bCs/>
          <w:color w:val="auto"/>
          <w:sz w:val="44"/>
          <w:szCs w:val="44"/>
          <w:highlight w:val="none"/>
        </w:rPr>
        <w:t xml:space="preserve">第</w:t>
      </w:r>
      <w:bookmarkEnd w:id="244"/>
      <w:r>
        <w:rPr>
          <w:rFonts w:hint="eastAsia" w:ascii="仿宋" w:hAnsi="仿宋" w:eastAsia="仿宋" w:cs="仿宋"/>
          <w:b/>
          <w:bCs/>
          <w:color w:val="auto"/>
          <w:sz w:val="44"/>
          <w:szCs w:val="44"/>
          <w:highlight w:val="none"/>
        </w:rPr>
        <w:t xml:space="preserve">四章  采购需求</w:t>
      </w:r>
      <w:bookmarkEnd w:id="424"/>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项目属性：</w:t>
      </w:r>
      <w:r>
        <w:rPr>
          <w:rFonts w:hint="eastAsia" w:ascii="仿宋" w:hAnsi="仿宋" w:eastAsia="仿宋" w:cs="仿宋"/>
          <w:b/>
          <w:bCs/>
          <w:sz w:val="24"/>
          <w:szCs w:val="24"/>
          <w:highlight w:val="none"/>
          <w:u w:val="single"/>
        </w:rPr>
        <w:t xml:space="preserve">工程类项目</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本项目采购标的对应的中小企业划分标准所属行业：</w:t>
      </w:r>
      <w:r>
        <w:rPr>
          <w:rFonts w:hint="eastAsia" w:ascii="仿宋" w:hAnsi="仿宋" w:eastAsia="仿宋" w:cs="仿宋"/>
          <w:b/>
          <w:bCs/>
          <w:sz w:val="24"/>
          <w:szCs w:val="24"/>
          <w:highlight w:val="none"/>
          <w:u w:val="single"/>
        </w:rPr>
        <w:t xml:space="preserve">建筑业</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w:t>
      </w:r>
      <w:r>
        <w:rPr>
          <w:rFonts w:hint="eastAsia" w:ascii="仿宋" w:hAnsi="仿宋" w:eastAsia="仿宋" w:cs="仿宋"/>
          <w:b/>
          <w:bCs/>
          <w:sz w:val="24"/>
          <w:szCs w:val="24"/>
          <w:highlight w:val="none"/>
          <w:u w:val="single"/>
        </w:rPr>
        <w:t xml:space="preserve">不接受</w:t>
      </w:r>
      <w:r>
        <w:rPr>
          <w:rFonts w:hint="eastAsia" w:ascii="仿宋" w:hAnsi="仿宋" w:eastAsia="仿宋" w:cs="仿宋"/>
          <w:sz w:val="24"/>
          <w:szCs w:val="24"/>
          <w:highlight w:val="none"/>
        </w:rPr>
        <w:t xml:space="preserve">进口产品。</w:t>
      </w:r>
      <w:r/>
    </w:p>
    <w:p>
      <w:pPr>
        <w:ind w:firstLine="562"/>
        <w:spacing w:line="560" w:lineRule="exact"/>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一、项目概况</w:t>
      </w:r>
      <w:r/>
    </w:p>
    <w:p>
      <w:pPr>
        <w:ind w:firstLine="480"/>
        <w:spacing w:line="5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1.项目概况：宿迁幼儿师范高等专科学校泽园一、二、三宿舍公寓化维修改造工程施工，具体详见工程量清单内容。</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工程量清单：另附（工程量清单请各潜在</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至宿迁市政府采购网本项目公告附件下载）。</w:t>
      </w:r>
      <w:r/>
    </w:p>
    <w:p>
      <w:pPr>
        <w:ind w:firstLine="562"/>
        <w:spacing w:line="56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二、</w:t>
      </w:r>
      <w:r>
        <w:rPr>
          <w:rFonts w:hint="eastAsia" w:ascii="仿宋" w:hAnsi="仿宋" w:eastAsia="仿宋" w:cs="仿宋"/>
          <w:b/>
          <w:bCs/>
          <w:sz w:val="28"/>
          <w:szCs w:val="28"/>
          <w:highlight w:val="none"/>
        </w:rPr>
        <w:t xml:space="preserve">商务要求</w:t>
      </w:r>
      <w:r/>
    </w:p>
    <w:p>
      <w:pPr>
        <w:ind w:firstLine="480"/>
        <w:spacing w:line="5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1.工期：</w:t>
      </w:r>
      <w:r>
        <w:rPr>
          <w:rFonts w:hint="eastAsia" w:ascii="仿宋" w:hAnsi="仿宋" w:eastAsia="仿宋" w:cs="仿宋"/>
          <w:sz w:val="24"/>
          <w:szCs w:val="24"/>
          <w:highlight w:val="none"/>
          <w:lang w:val="en-US" w:eastAsia="zh-CN"/>
        </w:rPr>
        <w:t xml:space="preserve">30日历天</w:t>
      </w:r>
      <w:r/>
    </w:p>
    <w:p>
      <w:pPr>
        <w:ind w:firstLine="480"/>
        <w:spacing w:line="5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2.质量保修期：2年</w:t>
      </w:r>
      <w:r/>
    </w:p>
    <w:p>
      <w:pPr>
        <w:ind w:firstLine="480"/>
        <w:spacing w:line="5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.施工地点：</w:t>
      </w:r>
      <w:r>
        <w:rPr>
          <w:rFonts w:hint="eastAsia" w:ascii="仿宋" w:hAnsi="仿宋" w:eastAsia="仿宋" w:cs="仿宋"/>
          <w:sz w:val="24"/>
          <w:szCs w:val="24"/>
          <w:highlight w:val="none"/>
          <w:lang w:eastAsia="zh-CN"/>
        </w:rPr>
        <w:t xml:space="preserve">采购人指定地点</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.付款方式</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预付款：合同金额的</w:t>
      </w:r>
      <w:r>
        <w:rPr>
          <w:rFonts w:hint="eastAsia" w:ascii="仿宋" w:hAnsi="仿宋" w:eastAsia="仿宋" w:cs="仿宋"/>
          <w:sz w:val="24"/>
          <w:szCs w:val="24"/>
          <w:highlight w:val="none"/>
          <w:u w:val="single"/>
          <w:lang w:val="en-US" w:eastAsia="zh-CN"/>
        </w:rPr>
        <w:t xml:space="preserve">10</w:t>
      </w:r>
      <w:r>
        <w:rPr>
          <w:rFonts w:hint="eastAsia" w:ascii="仿宋" w:hAnsi="仿宋" w:eastAsia="仿宋" w:cs="仿宋"/>
          <w:sz w:val="24"/>
          <w:szCs w:val="24"/>
          <w:highlight w:val="none"/>
          <w:u w:val="single"/>
        </w:rPr>
        <w:t xml:space="preserve">%</w:t>
      </w:r>
      <w:r>
        <w:rPr>
          <w:rFonts w:hint="eastAsia" w:ascii="仿宋" w:hAnsi="仿宋" w:eastAsia="仿宋" w:cs="仿宋"/>
          <w:sz w:val="24"/>
          <w:szCs w:val="24"/>
          <w:highlight w:val="none"/>
        </w:rPr>
        <w:t xml:space="preserve">，合同签订后按规定支付</w:t>
      </w:r>
      <w:r>
        <w:rPr>
          <w:rFonts w:hint="eastAsia" w:ascii="仿宋" w:hAnsi="仿宋" w:eastAsia="仿宋" w:cs="仿宋"/>
          <w:sz w:val="24"/>
          <w:szCs w:val="24"/>
          <w:highlight w:val="none"/>
          <w:lang w:val="en-US" w:eastAsia="zh-CN"/>
        </w:rPr>
        <w:t xml:space="preserve">；</w:t>
      </w:r>
      <w:r/>
    </w:p>
    <w:p>
      <w:pPr>
        <w:ind w:firstLine="480"/>
        <w:spacing w:line="5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进度款：工程竣工并经验收合格后付至合同价款的80%，审计结束后付至审定价的97%，余款待质保期满后无质量问题一次性付清（无息）。</w:t>
      </w:r>
      <w:r/>
    </w:p>
    <w:p>
      <w:pPr>
        <w:ind w:firstLine="480"/>
        <w:spacing w:line="5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注：在签订合同时，成交人明确表示无需预付款或者主动要求降低预付款比例的金额，采购人可不适用预付款规定。</w:t>
      </w:r>
      <w:r/>
    </w:p>
    <w:p>
      <w:pPr>
        <w:ind w:firstLine="480"/>
        <w:spacing w:line="5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对于满足合同约定支付条件的，自收到发票后10个工作日内将资金支付到合同约定的供应商账户或供应商数字人民币账户。</w:t>
      </w:r>
      <w:r/>
    </w:p>
    <w:p>
      <w:pPr>
        <w:ind w:firstLine="480"/>
        <w:spacing w:line="5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5.质量要求：合格。</w:t>
      </w:r>
      <w:r/>
    </w:p>
    <w:p>
      <w:pPr>
        <w:ind w:firstLine="480"/>
        <w:spacing w:line="5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6.缺陷责任期：自工程竣工验收合格之日起计算24个月。</w:t>
      </w:r>
      <w:r/>
    </w:p>
    <w:p>
      <w:pPr>
        <w:ind w:firstLine="480"/>
        <w:spacing w:line="5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7.验收要求</w:t>
      </w:r>
      <w:r/>
    </w:p>
    <w:p>
      <w:pPr>
        <w:ind w:firstLine="480"/>
        <w:spacing w:line="5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7.1验收条件：根据技术要求全部完成后，项目竣工且提供竣工验收资料。</w:t>
      </w:r>
      <w:r/>
    </w:p>
    <w:p>
      <w:pPr>
        <w:ind w:firstLine="480"/>
        <w:spacing w:line="5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7.2验收时间：在满足合同验收条件情况下，采购人在3个工作日内组织验收并出具验收书。</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3验收标准：符合相关法律法规及设计要求，工程质量达到合格。</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4验收程序、内容及履约：由采购人、专业评</w:t>
      </w:r>
      <w:r>
        <w:rPr>
          <w:rFonts w:hint="eastAsia" w:ascii="仿宋" w:hAnsi="仿宋" w:eastAsia="仿宋" w:cs="仿宋"/>
          <w:sz w:val="24"/>
          <w:szCs w:val="24"/>
          <w:highlight w:val="none"/>
          <w:lang w:val="en-US" w:eastAsia="zh-CN"/>
        </w:rPr>
        <w:t xml:space="preserve">委</w:t>
      </w:r>
      <w:r>
        <w:rPr>
          <w:rFonts w:hint="eastAsia" w:ascii="仿宋" w:hAnsi="仿宋" w:eastAsia="仿宋" w:cs="仿宋"/>
          <w:sz w:val="24"/>
          <w:szCs w:val="24"/>
          <w:highlight w:val="none"/>
        </w:rPr>
        <w:t xml:space="preserve">、设计单位及监理单位</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如有</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等组成验收小组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验收小组按照磋商文件、响应文件、工程量清单及签订合同约定</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rPr>
        <w:t xml:space="preserve">验收标准，对</w:t>
      </w:r>
      <w:r>
        <w:rPr>
          <w:rFonts w:hint="eastAsia" w:ascii="仿宋" w:hAnsi="仿宋" w:eastAsia="仿宋" w:cs="仿宋"/>
          <w:sz w:val="24"/>
          <w:szCs w:val="24"/>
          <w:highlight w:val="none"/>
          <w:lang w:eastAsia="zh-CN"/>
        </w:rPr>
        <w:t xml:space="preserve">成交供应商</w:t>
      </w:r>
      <w:r>
        <w:rPr>
          <w:rFonts w:hint="eastAsia" w:ascii="仿宋" w:hAnsi="仿宋" w:eastAsia="仿宋" w:cs="仿宋"/>
          <w:sz w:val="24"/>
          <w:szCs w:val="24"/>
          <w:highlight w:val="none"/>
        </w:rPr>
        <w:t xml:space="preserve">的履约情况开展验收。验收结束后，出具验收</w:t>
      </w:r>
      <w:r>
        <w:rPr>
          <w:rFonts w:hint="eastAsia" w:ascii="仿宋" w:hAnsi="仿宋" w:eastAsia="仿宋" w:cs="仿宋"/>
          <w:sz w:val="24"/>
          <w:szCs w:val="24"/>
          <w:highlight w:val="none"/>
          <w:lang w:val="en-US" w:eastAsia="zh-CN"/>
        </w:rPr>
        <w:t xml:space="preserve">报告</w:t>
      </w:r>
      <w:r>
        <w:rPr>
          <w:rFonts w:hint="eastAsia" w:ascii="仿宋" w:hAnsi="仿宋" w:eastAsia="仿宋" w:cs="仿宋"/>
          <w:sz w:val="24"/>
          <w:szCs w:val="24"/>
          <w:highlight w:val="none"/>
        </w:rPr>
        <w:t xml:space="preserve">，列明验收情况及项目总体评价，由验收双方共同签署。履约验收</w:t>
      </w:r>
      <w:r>
        <w:rPr>
          <w:rFonts w:hint="eastAsia" w:ascii="仿宋" w:hAnsi="仿宋" w:eastAsia="仿宋" w:cs="仿宋"/>
          <w:sz w:val="24"/>
          <w:szCs w:val="24"/>
          <w:highlight w:val="none"/>
          <w:lang w:val="en-US" w:eastAsia="zh-CN"/>
        </w:rPr>
        <w:t xml:space="preserve">中</w:t>
      </w:r>
      <w:r>
        <w:rPr>
          <w:rFonts w:hint="eastAsia" w:ascii="仿宋" w:hAnsi="仿宋" w:eastAsia="仿宋" w:cs="仿宋"/>
          <w:sz w:val="24"/>
          <w:szCs w:val="24"/>
          <w:highlight w:val="none"/>
        </w:rPr>
        <w:t xml:space="preserve">的各项资料存档备查。</w:t>
      </w:r>
      <w:r/>
    </w:p>
    <w:p>
      <w:pPr>
        <w:ind w:firstLine="562"/>
        <w:spacing w:line="56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三、</w:t>
      </w:r>
      <w:r>
        <w:rPr>
          <w:rFonts w:hint="eastAsia" w:ascii="仿宋" w:hAnsi="仿宋" w:eastAsia="仿宋" w:cs="仿宋"/>
          <w:b/>
          <w:bCs/>
          <w:sz w:val="28"/>
          <w:szCs w:val="28"/>
          <w:highlight w:val="none"/>
        </w:rPr>
        <w:t xml:space="preserve">技术要求</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1.本工程项目的材料、设备、施工必须达到现行中华人民共和国及省、市、行业的一切法规、规范的要求。</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2.对材料的质量和试验要求</w:t>
      </w:r>
      <w:r>
        <w:rPr>
          <w:rFonts w:hint="eastAsia" w:ascii="仿宋" w:hAnsi="仿宋" w:eastAsia="仿宋" w:cs="仿宋"/>
          <w:sz w:val="24"/>
          <w:szCs w:val="24"/>
          <w:highlight w:val="none"/>
          <w:lang w:val="en-US" w:eastAsia="zh-CN"/>
        </w:rPr>
        <w:t xml:space="preserve">执行</w:t>
      </w:r>
      <w:r>
        <w:rPr>
          <w:rFonts w:hint="eastAsia" w:ascii="仿宋" w:hAnsi="仿宋" w:eastAsia="仿宋" w:cs="仿宋"/>
          <w:sz w:val="24"/>
          <w:szCs w:val="24"/>
          <w:highlight w:val="none"/>
        </w:rPr>
        <w:t xml:space="preserve">现行中华人民共和国及省、市、行业的一切法规、规范的要求。</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3.本工程的材料、设备、施工必须达到现行中华人民共和国及省、市、行业的一切法规、规范的要求。</w:t>
      </w:r>
      <w:r/>
    </w:p>
    <w:p>
      <w:pPr>
        <w:ind w:firstLine="480"/>
        <w:spacing w:line="5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采购人已将泽园一、二宿舍室内床铺、衣柜等物品清除干净；施工前成交供应商须对泽园三宿舍内配置的四张高低床、衣柜、凳子等现有设施做好成品保护；施工过程中对宿舍室内外需要加固的给水、排水管道，进行加固处理；施工结束后对施工过程中破坏的绿化、道路、铺装项目进行恢复，以上所需费用包含在投标报价中，采购人不另行支付。</w:t>
      </w:r>
      <w:r/>
    </w:p>
    <w:p>
      <w:pPr>
        <w:ind w:firstLine="480"/>
        <w:spacing w:line="5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5.供应商可自行勘查现场，如因未勘查现场或勘查现场不全面造成的漏项，由成交供应商自行承担（现场勘察包含物联网水表与平台对接事项）。</w:t>
      </w:r>
      <w:r/>
    </w:p>
    <w:p>
      <w:pPr>
        <w:ind w:firstLine="480"/>
        <w:spacing w:line="5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采购人不承担因工程而发生的任何损害、赔偿和补偿，以及与此有关的一切索赔诉讼费或其他开支；如施工过程中发生以上内容，均由成交供应商自行承担。在工程建设期间，应结合施工现场及周边的环境，在保证安全和不影响正常生活、工作的前提下，做好文明施工工作。</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成交供应商</w:t>
      </w:r>
      <w:r>
        <w:rPr>
          <w:rFonts w:hint="eastAsia" w:ascii="仿宋" w:hAnsi="仿宋" w:eastAsia="仿宋" w:cs="仿宋"/>
          <w:sz w:val="24"/>
          <w:szCs w:val="24"/>
          <w:highlight w:val="none"/>
        </w:rPr>
        <w:t xml:space="preserve">在整个项目实施过程中，必须从技术、项目进度、技术人员保障、施工安全、文明施工、项目实施制度、质量把关等方面按照质量体系、磋商文件规定、国家（行业）相关标准和本合同要求执行。</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成交供应商</w:t>
      </w:r>
      <w:r>
        <w:rPr>
          <w:rFonts w:hint="eastAsia" w:ascii="仿宋" w:hAnsi="仿宋" w:eastAsia="仿宋" w:cs="仿宋"/>
          <w:sz w:val="24"/>
          <w:szCs w:val="24"/>
          <w:highlight w:val="none"/>
          <w:lang w:val="en-US" w:eastAsia="zh-CN"/>
        </w:rPr>
        <w:t xml:space="preserve">应</w:t>
      </w:r>
      <w:r>
        <w:rPr>
          <w:rFonts w:hint="eastAsia" w:ascii="仿宋" w:hAnsi="仿宋" w:eastAsia="仿宋" w:cs="仿宋"/>
          <w:sz w:val="24"/>
          <w:szCs w:val="24"/>
          <w:highlight w:val="none"/>
        </w:rPr>
        <w:t xml:space="preserve">严格执行施工规范、防火安全规定、环境保护规定</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严格按照</w:t>
      </w:r>
      <w:r>
        <w:rPr>
          <w:rFonts w:hint="eastAsia" w:ascii="仿宋" w:hAnsi="仿宋" w:eastAsia="仿宋" w:cs="仿宋"/>
          <w:sz w:val="24"/>
          <w:szCs w:val="24"/>
          <w:highlight w:val="none"/>
          <w:lang w:eastAsia="zh-CN"/>
        </w:rPr>
        <w:t xml:space="preserve">做法</w:t>
      </w:r>
      <w:r>
        <w:rPr>
          <w:rFonts w:hint="eastAsia" w:ascii="仿宋" w:hAnsi="仿宋" w:eastAsia="仿宋" w:cs="仿宋"/>
          <w:sz w:val="24"/>
          <w:szCs w:val="24"/>
          <w:highlight w:val="none"/>
        </w:rPr>
        <w:t xml:space="preserve">说明进行施工，做好各项质量检查记录。</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成交供应商</w:t>
      </w:r>
      <w:r>
        <w:rPr>
          <w:rFonts w:hint="eastAsia" w:ascii="仿宋" w:hAnsi="仿宋" w:eastAsia="仿宋" w:cs="仿宋"/>
          <w:sz w:val="24"/>
          <w:szCs w:val="24"/>
          <w:highlight w:val="none"/>
        </w:rPr>
        <w:t xml:space="preserve">必须按照采购人的施工要求和项目工期进度计划分期组织施工。采购人按项目工期安排组织验收，验收合格后，</w:t>
      </w:r>
      <w:r>
        <w:rPr>
          <w:rFonts w:hint="eastAsia" w:ascii="仿宋" w:hAnsi="仿宋" w:eastAsia="仿宋" w:cs="仿宋"/>
          <w:sz w:val="24"/>
          <w:szCs w:val="24"/>
          <w:highlight w:val="none"/>
          <w:lang w:eastAsia="zh-CN"/>
        </w:rPr>
        <w:t xml:space="preserve">成交供应商</w:t>
      </w:r>
      <w:r>
        <w:rPr>
          <w:rFonts w:hint="eastAsia" w:ascii="仿宋" w:hAnsi="仿宋" w:eastAsia="仿宋" w:cs="仿宋"/>
          <w:sz w:val="24"/>
          <w:szCs w:val="24"/>
          <w:highlight w:val="none"/>
        </w:rPr>
        <w:t xml:space="preserve">方可进行下一阶段的施工，擅自施工引起的一切责任由</w:t>
      </w:r>
      <w:r>
        <w:rPr>
          <w:rFonts w:hint="eastAsia" w:ascii="仿宋" w:hAnsi="仿宋" w:eastAsia="仿宋" w:cs="仿宋"/>
          <w:sz w:val="24"/>
          <w:szCs w:val="24"/>
          <w:highlight w:val="none"/>
          <w:lang w:eastAsia="zh-CN"/>
        </w:rPr>
        <w:t xml:space="preserve">成交供应商</w:t>
      </w:r>
      <w:r>
        <w:rPr>
          <w:rFonts w:hint="eastAsia" w:ascii="仿宋" w:hAnsi="仿宋" w:eastAsia="仿宋" w:cs="仿宋"/>
          <w:sz w:val="24"/>
          <w:szCs w:val="24"/>
          <w:highlight w:val="none"/>
        </w:rPr>
        <w:t xml:space="preserve">承担。</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10.成交供应商</w:t>
      </w:r>
      <w:r>
        <w:rPr>
          <w:rFonts w:hint="eastAsia" w:ascii="仿宋" w:hAnsi="仿宋" w:eastAsia="仿宋" w:cs="仿宋"/>
          <w:sz w:val="24"/>
          <w:szCs w:val="24"/>
          <w:highlight w:val="none"/>
        </w:rPr>
        <w:t xml:space="preserve">中标后</w:t>
      </w:r>
      <w:r>
        <w:rPr>
          <w:rFonts w:hint="eastAsia" w:ascii="仿宋" w:hAnsi="仿宋" w:eastAsia="仿宋" w:cs="仿宋"/>
          <w:sz w:val="24"/>
          <w:szCs w:val="24"/>
          <w:highlight w:val="none"/>
          <w:lang w:val="en-US" w:eastAsia="zh-CN"/>
        </w:rPr>
        <w:t xml:space="preserve">须</w:t>
      </w:r>
      <w:r>
        <w:rPr>
          <w:rFonts w:hint="eastAsia" w:ascii="仿宋" w:hAnsi="仿宋" w:eastAsia="仿宋" w:cs="仿宋"/>
          <w:sz w:val="24"/>
          <w:szCs w:val="24"/>
          <w:highlight w:val="none"/>
        </w:rPr>
        <w:t xml:space="preserve">根据采购人要求</w:t>
      </w:r>
      <w:r>
        <w:rPr>
          <w:rFonts w:hint="eastAsia" w:ascii="仿宋" w:hAnsi="仿宋" w:eastAsia="仿宋" w:cs="仿宋"/>
          <w:sz w:val="24"/>
          <w:szCs w:val="24"/>
          <w:highlight w:val="none"/>
          <w:lang w:val="en-US" w:eastAsia="zh-CN"/>
        </w:rPr>
        <w:t xml:space="preserve">并</w:t>
      </w:r>
      <w:r>
        <w:rPr>
          <w:rFonts w:hint="eastAsia" w:ascii="仿宋" w:hAnsi="仿宋" w:eastAsia="仿宋" w:cs="仿宋"/>
          <w:sz w:val="24"/>
          <w:szCs w:val="24"/>
          <w:highlight w:val="none"/>
        </w:rPr>
        <w:t xml:space="preserve">参照相关行业技术标准和要求编制技术方案；拟投入本标段的主要施工设备</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材料</w:t>
      </w:r>
      <w:r>
        <w:rPr>
          <w:rFonts w:hint="eastAsia" w:ascii="仿宋" w:hAnsi="仿宋" w:eastAsia="仿宋" w:cs="仿宋"/>
          <w:sz w:val="24"/>
          <w:szCs w:val="24"/>
          <w:highlight w:val="none"/>
        </w:rPr>
        <w:t xml:space="preserve">情况、劳动力计划等；</w:t>
      </w:r>
      <w:r>
        <w:rPr>
          <w:rFonts w:hint="eastAsia" w:ascii="仿宋" w:hAnsi="仿宋" w:eastAsia="仿宋" w:cs="仿宋"/>
          <w:sz w:val="24"/>
          <w:szCs w:val="24"/>
          <w:highlight w:val="none"/>
          <w:lang w:val="en-US" w:eastAsia="zh-CN"/>
        </w:rPr>
        <w:t xml:space="preserve">实施方案</w:t>
      </w:r>
      <w:r>
        <w:rPr>
          <w:rFonts w:hint="eastAsia" w:ascii="仿宋" w:hAnsi="仿宋" w:eastAsia="仿宋" w:cs="仿宋"/>
          <w:sz w:val="24"/>
          <w:szCs w:val="24"/>
          <w:highlight w:val="none"/>
        </w:rPr>
        <w:t xml:space="preserve">包括但不限于以下内容：</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施工组织总体方案：总体施工布置及规划、施工组织内容的完整性和合理性、施工工艺流程、各分部分项工程工序计划安排应完整、具体、合理、施工流程应符合要求、各工程工序应符合要求。</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质量保证、安全文明施</w:t>
      </w:r>
      <w:r>
        <w:rPr>
          <w:rFonts w:hint="eastAsia" w:ascii="仿宋" w:hAnsi="仿宋" w:eastAsia="仿宋" w:cs="仿宋"/>
          <w:sz w:val="24"/>
          <w:szCs w:val="24"/>
          <w:highlight w:val="none"/>
          <w:lang w:val="en-US" w:eastAsia="zh-CN"/>
        </w:rPr>
        <w:t xml:space="preserve">工</w:t>
      </w:r>
      <w:r>
        <w:rPr>
          <w:rFonts w:hint="eastAsia" w:ascii="仿宋" w:hAnsi="仿宋" w:eastAsia="仿宋" w:cs="仿宋"/>
          <w:sz w:val="24"/>
          <w:szCs w:val="24"/>
          <w:highlight w:val="none"/>
        </w:rPr>
        <w:t xml:space="preserve">及环境保护措施：</w:t>
      </w:r>
      <w:r>
        <w:rPr>
          <w:rFonts w:hint="eastAsia" w:ascii="仿宋" w:hAnsi="仿宋" w:eastAsia="仿宋" w:cs="仿宋"/>
          <w:sz w:val="24"/>
          <w:szCs w:val="24"/>
          <w:highlight w:val="none"/>
          <w:lang w:val="en-US" w:eastAsia="zh-CN"/>
        </w:rPr>
        <w:t xml:space="preserve">针对</w:t>
      </w:r>
      <w:r>
        <w:rPr>
          <w:rFonts w:hint="eastAsia" w:ascii="仿宋" w:hAnsi="仿宋" w:eastAsia="仿宋" w:cs="仿宋"/>
          <w:sz w:val="24"/>
          <w:szCs w:val="24"/>
          <w:highlight w:val="none"/>
        </w:rPr>
        <w:t xml:space="preserve">本项目质量保证措施、安全文明施工及环境保护措施等应完整、详细具体、科学合理、方式方法应符合要求。</w:t>
      </w:r>
      <w:r/>
    </w:p>
    <w:p>
      <w:pPr>
        <w:ind w:firstLine="480"/>
        <w:spacing w:line="5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施工进度计划和各阶段进度的保证措施：对本次施工现场实际情况的施工进度计划和各阶段进度的保证措施等应完整、详细、具体且符合要求。</w:t>
      </w:r>
      <w:r/>
    </w:p>
    <w:p>
      <w:pPr>
        <w:ind w:firstLine="480"/>
        <w:spacing w:line="5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拟投入本工程的机械、设备</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针对</w:t>
      </w:r>
      <w:r>
        <w:rPr>
          <w:rFonts w:hint="eastAsia" w:ascii="仿宋" w:hAnsi="仿宋" w:eastAsia="仿宋" w:cs="仿宋"/>
          <w:sz w:val="24"/>
          <w:szCs w:val="24"/>
          <w:highlight w:val="none"/>
        </w:rPr>
        <w:t xml:space="preserve">本项目拟投入本工程的机械、设备的种类</w:t>
      </w:r>
      <w:r>
        <w:rPr>
          <w:rFonts w:hint="eastAsia" w:ascii="仿宋" w:hAnsi="仿宋" w:eastAsia="仿宋" w:cs="仿宋"/>
          <w:sz w:val="24"/>
          <w:szCs w:val="24"/>
          <w:highlight w:val="none"/>
          <w:lang w:val="en-US" w:eastAsia="zh-CN"/>
        </w:rPr>
        <w:t xml:space="preserve">应</w:t>
      </w:r>
      <w:r>
        <w:rPr>
          <w:rFonts w:hint="eastAsia" w:ascii="仿宋" w:hAnsi="仿宋" w:eastAsia="仿宋" w:cs="仿宋"/>
          <w:sz w:val="24"/>
          <w:szCs w:val="24"/>
          <w:highlight w:val="none"/>
        </w:rPr>
        <w:t xml:space="preserve">齐全、数量满足工程施工要求、符合本项目施工现场特点</w:t>
      </w:r>
      <w:r>
        <w:rPr>
          <w:rFonts w:hint="eastAsia" w:ascii="仿宋" w:hAnsi="仿宋" w:eastAsia="仿宋" w:cs="仿宋"/>
          <w:sz w:val="24"/>
          <w:szCs w:val="24"/>
          <w:highlight w:val="none"/>
          <w:lang w:val="en-US" w:eastAsia="zh-CN"/>
        </w:rPr>
        <w:t xml:space="preserve">及要求</w:t>
      </w:r>
      <w:r>
        <w:rPr>
          <w:rFonts w:hint="eastAsia" w:ascii="仿宋" w:hAnsi="仿宋" w:eastAsia="仿宋" w:cs="仿宋"/>
          <w:sz w:val="24"/>
          <w:szCs w:val="24"/>
          <w:highlight w:val="none"/>
          <w:lang w:eastAsia="zh-CN"/>
        </w:rPr>
        <w:t xml:space="preserve">。</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施工过程重点难点分析</w:t>
      </w:r>
      <w:r>
        <w:rPr>
          <w:rFonts w:hint="eastAsia" w:ascii="仿宋" w:hAnsi="仿宋" w:eastAsia="仿宋" w:cs="仿宋"/>
          <w:sz w:val="24"/>
          <w:szCs w:val="24"/>
          <w:highlight w:val="none"/>
        </w:rPr>
        <w:t xml:space="preserve">：包括关键施工技术、工艺及工程项目实施的重点、难点和解决方案。内容要完整、详细具体、科学合理、可靠且针对性强，符合本项目特点。</w:t>
      </w:r>
      <w:r/>
    </w:p>
    <w:p>
      <w:pPr>
        <w:ind w:firstLine="480"/>
        <w:spacing w:line="56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项目管理：项目管理班子的人员配备、劳动力、材料选用</w:t>
      </w:r>
      <w:r>
        <w:rPr>
          <w:rFonts w:hint="eastAsia" w:ascii="仿宋" w:hAnsi="仿宋" w:eastAsia="仿宋" w:cs="仿宋"/>
          <w:sz w:val="24"/>
          <w:szCs w:val="24"/>
          <w:highlight w:val="none"/>
          <w:lang w:eastAsia="zh-CN"/>
        </w:rPr>
        <w:t xml:space="preserve">、采购管理、质量控制、安全环保及材料的储存与保管</w:t>
      </w:r>
      <w:r>
        <w:rPr>
          <w:rFonts w:hint="eastAsia" w:ascii="仿宋" w:hAnsi="仿宋" w:eastAsia="仿宋" w:cs="仿宋"/>
          <w:sz w:val="24"/>
          <w:szCs w:val="24"/>
          <w:highlight w:val="none"/>
          <w:lang w:val="en-US" w:eastAsia="zh-CN"/>
        </w:rPr>
        <w:t xml:space="preserve">等；方案内容完整，人员配备、劳动力、材料选用</w:t>
      </w:r>
      <w:r>
        <w:rPr>
          <w:rFonts w:hint="eastAsia" w:ascii="仿宋" w:hAnsi="仿宋" w:eastAsia="仿宋" w:cs="仿宋"/>
          <w:sz w:val="24"/>
          <w:szCs w:val="24"/>
          <w:highlight w:val="none"/>
          <w:lang w:eastAsia="zh-CN"/>
        </w:rPr>
        <w:t xml:space="preserve">、采购管理、质量控制、安全环保及材料的储存与保管</w:t>
      </w:r>
      <w:r>
        <w:rPr>
          <w:rFonts w:hint="eastAsia" w:ascii="仿宋" w:hAnsi="仿宋" w:eastAsia="仿宋" w:cs="仿宋"/>
          <w:sz w:val="24"/>
          <w:szCs w:val="24"/>
          <w:highlight w:val="none"/>
          <w:lang w:val="en-US" w:eastAsia="zh-CN"/>
        </w:rPr>
        <w:t xml:space="preserve">是否完善、数量是否满足工程实际情况。</w:t>
      </w:r>
      <w:r/>
    </w:p>
    <w:p>
      <w:pPr>
        <w:ind w:firstLine="562"/>
        <w:spacing w:line="56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四、</w:t>
      </w:r>
      <w:r>
        <w:rPr>
          <w:rFonts w:hint="eastAsia" w:ascii="仿宋" w:hAnsi="仿宋" w:eastAsia="仿宋" w:cs="仿宋"/>
          <w:b/>
          <w:bCs/>
          <w:sz w:val="28"/>
          <w:szCs w:val="28"/>
          <w:highlight w:val="none"/>
        </w:rPr>
        <w:t xml:space="preserve">采购标的需实现的功能或者目标，以及为落实政府采购政策需满足的要求；</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1.采购本国货物、工程和服务</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1.1政府采购应当采购本国货物、工程和服务，但有《中华人民共和国政府采购法》第十条规定情形的除外。</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2.中小企业政策</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本项目按以下第</w:t>
      </w:r>
      <w:r>
        <w:rPr>
          <w:rFonts w:hint="eastAsia" w:ascii="仿宋" w:hAnsi="仿宋" w:eastAsia="仿宋" w:cs="仿宋"/>
          <w:b/>
          <w:bCs/>
          <w:sz w:val="24"/>
          <w:szCs w:val="24"/>
          <w:highlight w:val="none"/>
          <w:u w:val="single"/>
        </w:rPr>
        <w:t xml:space="preserve">（1）</w:t>
      </w:r>
      <w:r>
        <w:rPr>
          <w:rFonts w:hint="eastAsia" w:ascii="仿宋" w:hAnsi="仿宋" w:eastAsia="仿宋" w:cs="仿宋"/>
          <w:sz w:val="24"/>
          <w:szCs w:val="24"/>
          <w:highlight w:val="none"/>
        </w:rPr>
        <w:t xml:space="preserve">种政策确定本项目落实的中小企业政策：</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（1）本项目专门面向中小企业（含监狱企业、残疾人福利企业）采购。</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提供的服务符合规定情形的，对小微企业报价给予扣除（扣除比例详见“</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须知”</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“政府采购政策”相关条款），用扣除后的价格参加评审。</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提供的服务符合下列情形的，对小微企业报价给予</w:t>
      </w:r>
      <w:r>
        <w:rPr>
          <w:rFonts w:hint="eastAsia" w:ascii="仿宋" w:hAnsi="仿宋" w:eastAsia="仿宋" w:cs="仿宋"/>
          <w:sz w:val="24"/>
          <w:szCs w:val="24"/>
          <w:highlight w:val="none"/>
          <w:u w:val="single"/>
          <w:lang w:val="en-US" w:eastAsia="zh-CN"/>
        </w:rPr>
        <w:t xml:space="preserve"> / </w:t>
      </w:r>
      <w:r>
        <w:rPr>
          <w:rFonts w:hint="eastAsia" w:ascii="仿宋" w:hAnsi="仿宋" w:eastAsia="仿宋" w:cs="仿宋"/>
          <w:sz w:val="24"/>
          <w:szCs w:val="24"/>
          <w:highlight w:val="none"/>
        </w:rPr>
        <w:t xml:space="preserve">%的扣除，用扣除后的价格参加评审。</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在工程采购项目中，工程由中小企业承建，即工程施工单位为中小企业。</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含新疆生产建设兵团</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出具的属于监狱企业的证明文件</w:t>
      </w:r>
      <w:r>
        <w:rPr>
          <w:rFonts w:hint="eastAsia" w:ascii="仿宋" w:hAnsi="仿宋" w:eastAsia="仿宋" w:cs="仿宋"/>
          <w:sz w:val="24"/>
          <w:szCs w:val="24"/>
          <w:highlight w:val="none"/>
          <w:lang w:eastAsia="zh-CN"/>
        </w:rPr>
        <w:t xml:space="preserve">（在</w:t>
      </w:r>
      <w:r>
        <w:rPr>
          <w:rFonts w:hint="eastAsia" w:ascii="仿宋" w:hAnsi="仿宋" w:eastAsia="仿宋" w:cs="仿宋"/>
          <w:sz w:val="24"/>
          <w:szCs w:val="24"/>
          <w:highlight w:val="none"/>
        </w:rPr>
        <w:t xml:space="preserve">投标文件中上传加盖出具单位公章的电子件）。</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3.政府采购需求标准</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3.1商品包装、快递包装政府采购需求标准（试行）</w:t>
      </w:r>
      <w:r/>
    </w:p>
    <w:p>
      <w:pPr>
        <w:ind w:firstLine="48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ind w:firstLine="480"/>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jc w:val="center"/>
        <w:keepNext/>
        <w:rPr>
          <w:rFonts w:hint="eastAsia" w:ascii="仿宋" w:hAnsi="仿宋" w:eastAsia="仿宋" w:cs="仿宋"/>
          <w:color w:val="auto"/>
          <w:sz w:val="44"/>
          <w:szCs w:val="44"/>
          <w:highlight w:val="none"/>
        </w:rPr>
        <w:outlineLvl w:val="0"/>
      </w:pPr>
      <w:r/>
      <w:bookmarkStart w:id="425" w:name="_Toc114"/>
      <w:r>
        <w:rPr>
          <w:rFonts w:hint="eastAsia" w:ascii="仿宋" w:hAnsi="仿宋" w:eastAsia="仿宋" w:cs="仿宋"/>
          <w:bCs/>
          <w:color w:val="auto"/>
          <w:sz w:val="44"/>
          <w:szCs w:val="28"/>
          <w:highlight w:val="none"/>
        </w:rPr>
        <w:br w:type="page" w:clear="all"/>
      </w:r>
      <w:r>
        <w:rPr>
          <w:rFonts w:hint="eastAsia" w:ascii="仿宋" w:hAnsi="仿宋" w:eastAsia="仿宋" w:cs="仿宋"/>
          <w:b/>
          <w:bCs/>
          <w:color w:val="auto"/>
          <w:sz w:val="44"/>
          <w:szCs w:val="44"/>
          <w:highlight w:val="none"/>
        </w:rPr>
        <w:t xml:space="preserve">第五章  评审方法与评审标准</w:t>
      </w:r>
      <w:bookmarkEnd w:id="425"/>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562"/>
        <w:jc w:val="left"/>
        <w:spacing w:line="500" w:lineRule="exact"/>
        <w:rPr>
          <w:rFonts w:hint="eastAsia" w:ascii="仿宋" w:hAnsi="仿宋" w:eastAsia="仿宋" w:cs="仿宋"/>
          <w:color w:val="auto"/>
          <w:sz w:val="24"/>
          <w:highlight w:val="none"/>
        </w:rPr>
      </w:pPr>
      <w:r>
        <w:rPr>
          <w:rFonts w:hint="eastAsia" w:ascii="仿宋" w:hAnsi="仿宋" w:eastAsia="仿宋" w:cs="仿宋"/>
          <w:b/>
          <w:color w:val="auto"/>
          <w:sz w:val="28"/>
          <w:highlight w:val="none"/>
        </w:rPr>
        <w:t xml:space="preserve">一、资格审查。</w:t>
      </w:r>
      <w:r>
        <w:rPr>
          <w:rFonts w:hint="eastAsia" w:ascii="仿宋" w:hAnsi="仿宋" w:eastAsia="仿宋" w:cs="仿宋"/>
          <w:color w:val="auto"/>
          <w:sz w:val="24"/>
          <w:highlight w:val="none"/>
        </w:rPr>
        <w:t xml:space="preserve">资格审查人员按照下列指标对各供应商的资格进行审查，未通过审查的为无效标，不参与评审。</w:t>
      </w:r>
      <w:r/>
    </w:p>
    <w:tbl>
      <w:tblPr>
        <w:tblStyle w:val="697"/>
        <w:tblW w:w="8876"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jc w:val="cente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审查标准</w:t>
            </w:r>
            <w:r/>
          </w:p>
        </w:tc>
      </w:tr>
      <w:tr>
        <w:trPr>
          <w:jc w:val="cente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响应声明及承诺函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符合磋商文件要求</w:t>
            </w:r>
            <w:r/>
          </w:p>
        </w:tc>
      </w:tr>
      <w:tr>
        <w:trPr>
          <w:jc w:val="cente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中小企业声明函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符合磋商文件要求</w:t>
            </w:r>
            <w:r/>
          </w:p>
        </w:tc>
      </w:tr>
      <w:tr>
        <w:trPr>
          <w:jc w:val="cente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符合磋商文件要求</w:t>
            </w:r>
            <w:r/>
          </w:p>
        </w:tc>
      </w:tr>
      <w:tr>
        <w:trPr>
          <w:jc w:val="cente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联合体响应</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本项目不接受联合体响应</w:t>
            </w:r>
            <w:r/>
          </w:p>
        </w:tc>
      </w:tr>
      <w:tr>
        <w:trPr>
          <w:jc w:val="cente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供应商资质</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符合磋商文件要求</w:t>
            </w:r>
            <w:r/>
          </w:p>
        </w:tc>
      </w:tr>
      <w:tr>
        <w:trPr>
          <w:jc w:val="cente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项目负责人资格证明</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符合磋商文件要求</w:t>
            </w:r>
            <w:r/>
          </w:p>
        </w:tc>
      </w:tr>
      <w:tr>
        <w:trPr>
          <w:jc w:val="cente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keepLines w:val="0"/>
              <w:keepNext w:val="0"/>
              <w:pageBreakBefore w:val="0"/>
              <w:spacing w:after="0" w:afterAutospacing="0" w:line="30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sz w:val="21"/>
                <w:szCs w:val="22"/>
                <w:highlight w:val="none"/>
                <w:rtl w:val="0"/>
                <w:lang w:val="en-US" w:eastAsia="zh-CN" w:bidi="ar-SA"/>
              </w:rPr>
              <w:t xml:space="preserve">项目负责人社会养老保险或医疗保险证明</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keepLines w:val="0"/>
              <w:keepNext w:val="0"/>
              <w:pageBreakBefore w:val="0"/>
              <w:spacing w:after="0" w:afterAutospacing="0" w:line="30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符合磋商文件要求</w:t>
            </w:r>
            <w:r/>
          </w:p>
        </w:tc>
      </w:tr>
    </w:tbl>
    <w:p>
      <w:pPr>
        <w:ind w:firstLine="562"/>
        <w:jc w:val="left"/>
        <w:spacing w:line="500" w:lineRule="exact"/>
        <w:rPr>
          <w:rFonts w:hint="eastAsia" w:ascii="仿宋" w:hAnsi="仿宋" w:eastAsia="仿宋" w:cs="仿宋"/>
          <w:color w:val="auto"/>
          <w:sz w:val="24"/>
          <w:highlight w:val="none"/>
        </w:rPr>
      </w:pPr>
      <w:r>
        <w:rPr>
          <w:rFonts w:hint="eastAsia" w:ascii="仿宋" w:hAnsi="仿宋" w:eastAsia="仿宋" w:cs="仿宋"/>
          <w:b/>
          <w:color w:val="auto"/>
          <w:sz w:val="28"/>
          <w:highlight w:val="none"/>
        </w:rPr>
        <w:t xml:space="preserve">二、符合性审查。</w:t>
      </w:r>
      <w:r>
        <w:rPr>
          <w:rFonts w:hint="eastAsia" w:ascii="仿宋" w:hAnsi="仿宋" w:eastAsia="仿宋" w:cs="仿宋"/>
          <w:color w:val="auto"/>
          <w:sz w:val="24"/>
          <w:highlight w:val="none"/>
        </w:rPr>
        <w:t xml:space="preserve">磋商小组首先按照下列指标对各供应商进行初步评审，未通过评审的为无效标，不再参与评审。</w:t>
      </w:r>
      <w:r/>
    </w:p>
    <w:tbl>
      <w:tblPr>
        <w:tblStyle w:val="697"/>
        <w:tblW w:w="8979"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91"/>
        <w:gridCol w:w="5388"/>
      </w:tblGrid>
      <w:tr>
        <w:trPr>
          <w:jc w:val="center"/>
          <w:trHeight w:val="347"/>
        </w:trPr>
        <w:tc>
          <w:tcPr>
            <w:tcBorders>
              <w:top w:val="single" w:color="000000" w:sz="6" w:space="0"/>
              <w:left w:val="single" w:color="000000" w:sz="6" w:space="0"/>
              <w:bottom w:val="single" w:color="000000" w:sz="6" w:space="0"/>
              <w:right w:val="single" w:color="000000" w:sz="6" w:space="0"/>
            </w:tcBorders>
            <w:tcW w:w="3591"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5388"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评审标准</w:t>
            </w:r>
            <w:r/>
          </w:p>
        </w:tc>
      </w:tr>
      <w:tr>
        <w:trPr>
          <w:jc w:val="center"/>
          <w:trHeight w:val="347"/>
        </w:trPr>
        <w:tc>
          <w:tcPr>
            <w:tcBorders>
              <w:top w:val="single" w:color="000000" w:sz="6" w:space="0"/>
              <w:left w:val="single" w:color="000000" w:sz="6" w:space="0"/>
              <w:bottom w:val="single" w:color="000000" w:sz="6" w:space="0"/>
              <w:right w:val="single" w:color="000000" w:sz="6" w:space="0"/>
            </w:tcBorders>
            <w:tcW w:w="3591"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5388"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符合磋商文件要求</w:t>
            </w:r>
            <w:r/>
          </w:p>
        </w:tc>
      </w:tr>
      <w:tr>
        <w:trPr>
          <w:jc w:val="center"/>
          <w:trHeight w:val="347"/>
        </w:trPr>
        <w:tc>
          <w:tcPr>
            <w:tcBorders>
              <w:top w:val="single" w:color="000000" w:sz="6" w:space="0"/>
              <w:left w:val="single" w:color="000000" w:sz="6" w:space="0"/>
              <w:bottom w:val="single" w:color="000000" w:sz="6" w:space="0"/>
              <w:right w:val="single" w:color="000000" w:sz="6" w:space="0"/>
            </w:tcBorders>
            <w:tcW w:w="3591"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5388"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符合磋商文件要求</w:t>
            </w:r>
            <w:r/>
          </w:p>
        </w:tc>
      </w:tr>
      <w:tr>
        <w:trPr>
          <w:jc w:val="center"/>
          <w:trHeight w:val="347"/>
        </w:trPr>
        <w:tc>
          <w:tcPr>
            <w:tcBorders>
              <w:top w:val="single" w:color="000000" w:sz="6" w:space="0"/>
              <w:left w:val="single" w:color="000000" w:sz="6" w:space="0"/>
              <w:bottom w:val="single" w:color="000000" w:sz="6" w:space="0"/>
              <w:right w:val="single" w:color="000000" w:sz="6" w:space="0"/>
            </w:tcBorders>
            <w:tcW w:w="3591"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技术标准和要求</w:t>
            </w:r>
            <w:r/>
          </w:p>
        </w:tc>
        <w:tc>
          <w:tcPr>
            <w:tcBorders>
              <w:top w:val="single" w:color="000000" w:sz="6" w:space="0"/>
              <w:left w:val="single" w:color="000000" w:sz="6" w:space="0"/>
              <w:bottom w:val="single" w:color="000000" w:sz="6" w:space="0"/>
              <w:right w:val="single" w:color="000000" w:sz="6" w:space="0"/>
            </w:tcBorders>
            <w:tcW w:w="5388"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符合磋商文件要求</w:t>
            </w:r>
            <w:r/>
          </w:p>
        </w:tc>
      </w:tr>
      <w:tr>
        <w:trPr>
          <w:jc w:val="center"/>
          <w:trHeight w:val="363"/>
        </w:trPr>
        <w:tc>
          <w:tcPr>
            <w:tcBorders>
              <w:top w:val="single" w:color="000000" w:sz="6" w:space="0"/>
              <w:left w:val="single" w:color="000000" w:sz="6" w:space="0"/>
              <w:bottom w:val="single" w:color="000000" w:sz="6" w:space="0"/>
              <w:right w:val="single" w:color="000000" w:sz="6" w:space="0"/>
            </w:tcBorders>
            <w:tcW w:w="3591"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5388" w:type="dxa"/>
            <w:vAlign w:val="center"/>
            <w:textDirection w:val="lrTb"/>
            <w:noWrap w:val="false"/>
          </w:tcPr>
          <w:p>
            <w:pPr>
              <w:jc w:val="left"/>
              <w:keepLines w:val="0"/>
              <w:keepNext w:val="0"/>
              <w:pageBreakBefore w:val="0"/>
              <w:spacing w:line="30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符合磋商文件要求</w:t>
            </w:r>
            <w:r/>
          </w:p>
        </w:tc>
      </w:tr>
    </w:tbl>
    <w:p>
      <w:pPr>
        <w:ind w:firstLine="562"/>
        <w:spacing w:line="500" w:lineRule="exact"/>
        <w:rPr>
          <w:rFonts w:hint="eastAsia" w:ascii="仿宋" w:hAnsi="仿宋" w:eastAsia="仿宋" w:cs="仿宋"/>
          <w:b/>
          <w:color w:val="auto"/>
          <w:sz w:val="28"/>
          <w:highlight w:val="none"/>
        </w:rPr>
        <w:outlineLvl w:val="9"/>
      </w:pPr>
      <w:r>
        <w:rPr>
          <w:rFonts w:hint="eastAsia" w:ascii="仿宋" w:hAnsi="仿宋" w:eastAsia="仿宋" w:cs="仿宋"/>
          <w:b/>
          <w:color w:val="auto"/>
          <w:sz w:val="28"/>
          <w:highlight w:val="none"/>
        </w:rPr>
        <w:t xml:space="preserve">三、评分办法—综合评分法</w:t>
      </w:r>
      <w:r/>
    </w:p>
    <w:p>
      <w:pPr>
        <w:ind w:firstLine="482"/>
        <w:jc w:val="left"/>
        <w:spacing w:line="500" w:lineRule="exact"/>
        <w:rPr>
          <w:rFonts w:hint="eastAsia" w:ascii="仿宋" w:hAnsi="仿宋" w:eastAsia="仿宋" w:cs="仿宋"/>
          <w:color w:val="auto"/>
          <w:sz w:val="24"/>
          <w:highlight w:val="none"/>
        </w:rPr>
        <w:outlineLvl w:val="9"/>
      </w:pPr>
      <w:r>
        <w:rPr>
          <w:rFonts w:hint="eastAsia" w:ascii="仿宋" w:hAnsi="仿宋" w:eastAsia="仿宋" w:cs="仿宋"/>
          <w:b/>
          <w:color w:val="auto"/>
          <w:sz w:val="24"/>
          <w:highlight w:val="none"/>
        </w:rPr>
        <w:t xml:space="preserve">（一）评标办法：</w:t>
      </w:r>
      <w:r>
        <w:rPr>
          <w:rFonts w:hint="eastAsia" w:ascii="仿宋" w:hAnsi="仿宋" w:eastAsia="仿宋" w:cs="仿宋"/>
          <w:color w:val="auto"/>
          <w:sz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firstLine="480"/>
        <w:jc w:val="left"/>
        <w:spacing w:line="50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磋商小组根据评审后供应商排序推荐3名成交候选人。响应文件满足磋商文件全部实质性要求，且评审后排序第一的供应商为第一成交候选人，依次类推。</w:t>
      </w:r>
      <w:r/>
    </w:p>
    <w:p>
      <w:pPr>
        <w:ind w:firstLine="480"/>
        <w:jc w:val="left"/>
        <w:spacing w:line="50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综合评分保留至小数点后两位。</w:t>
      </w:r>
      <w:r/>
    </w:p>
    <w:p>
      <w:pPr>
        <w:ind w:firstLine="482"/>
        <w:jc w:val="left"/>
        <w:spacing w:line="500" w:lineRule="exact"/>
        <w:rPr>
          <w:rFonts w:hint="eastAsia" w:ascii="仿宋" w:hAnsi="仿宋" w:eastAsia="仿宋" w:cs="仿宋"/>
          <w:color w:val="auto"/>
          <w:sz w:val="24"/>
          <w:highlight w:val="none"/>
        </w:rPr>
        <w:outlineLvl w:val="9"/>
      </w:pPr>
      <w:r>
        <w:rPr>
          <w:rFonts w:hint="eastAsia" w:ascii="仿宋" w:hAnsi="仿宋" w:eastAsia="仿宋" w:cs="仿宋"/>
          <w:b/>
          <w:color w:val="auto"/>
          <w:sz w:val="24"/>
          <w:highlight w:val="none"/>
        </w:rPr>
        <w:t xml:space="preserve">（二）详细评审。</w:t>
      </w:r>
      <w:r>
        <w:rPr>
          <w:rFonts w:hint="eastAsia" w:ascii="仿宋" w:hAnsi="仿宋" w:eastAsia="仿宋" w:cs="仿宋"/>
          <w:color w:val="auto"/>
          <w:sz w:val="24"/>
          <w:highlight w:val="none"/>
        </w:rPr>
        <w:t xml:space="preserve">磋商小组按照竞争性磋商文件规定的评分标准，对各响应文件进行详细评审打分。磋商小组组长对各评审专家的打分情况进行复核无误后汇总。</w:t>
      </w:r>
      <w:r/>
    </w:p>
    <w:tbl>
      <w:tblPr>
        <w:tblStyle w:val="697"/>
        <w:tblW w:w="5372" w:type="pct"/>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397"/>
        <w:gridCol w:w="1579"/>
        <w:gridCol w:w="750"/>
        <w:gridCol w:w="5910"/>
      </w:tblGrid>
      <w:tr>
        <w:trPr>
          <w:jc w:val="center"/>
          <w:trHeight w:val="90"/>
        </w:trPr>
        <w:tc>
          <w:tcPr>
            <w:gridSpan w:val="2"/>
            <w:tcBorders>
              <w:top w:val="single" w:color="000000" w:sz="6" w:space="0"/>
              <w:left w:val="single" w:color="000000" w:sz="6" w:space="0"/>
              <w:bottom w:val="single" w:color="000000" w:sz="6" w:space="0"/>
              <w:right w:val="single" w:color="000000" w:sz="6" w:space="0"/>
            </w:tcBorders>
            <w:tcW w:w="1544"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389"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分数</w:t>
            </w:r>
            <w:r/>
          </w:p>
        </w:tc>
        <w:tc>
          <w:tcPr>
            <w:tcBorders>
              <w:top w:val="single" w:color="000000" w:sz="6" w:space="0"/>
              <w:left w:val="single" w:color="000000" w:sz="6" w:space="0"/>
              <w:bottom w:val="single" w:color="000000" w:sz="6" w:space="0"/>
              <w:right w:val="single" w:color="000000" w:sz="6" w:space="0"/>
            </w:tcBorders>
            <w:tcW w:w="3066"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评审标准</w:t>
            </w:r>
            <w:r/>
          </w:p>
        </w:tc>
      </w:tr>
      <w:tr>
        <w:trPr>
          <w:jc w:val="center"/>
        </w:trPr>
        <w:tc>
          <w:tcPr>
            <w:tcBorders>
              <w:top w:val="single" w:color="000000" w:sz="6" w:space="0"/>
              <w:left w:val="single" w:color="000000" w:sz="6" w:space="0"/>
              <w:bottom w:val="single" w:color="000000" w:sz="6" w:space="0"/>
              <w:right w:val="single" w:color="000000" w:sz="6" w:space="0"/>
            </w:tcBorders>
            <w:tcW w:w="725" w:type="pct"/>
            <w:vAlign w:val="center"/>
            <w:textDirection w:val="lrTb"/>
            <w:noWrap w:val="false"/>
          </w:tcPr>
          <w:p>
            <w:pPr>
              <w:jc w:val="left"/>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报价分</w:t>
            </w:r>
            <w:r/>
          </w:p>
        </w:tc>
        <w:tc>
          <w:tcPr>
            <w:tcBorders>
              <w:top w:val="single" w:color="000000" w:sz="6" w:space="0"/>
              <w:left w:val="single" w:color="000000" w:sz="6" w:space="0"/>
              <w:bottom w:val="single" w:color="000000" w:sz="6" w:space="0"/>
              <w:right w:val="single" w:color="000000" w:sz="6" w:space="0"/>
            </w:tcBorders>
            <w:tcW w:w="819"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投标报价</w:t>
            </w:r>
            <w:r/>
          </w:p>
        </w:tc>
        <w:tc>
          <w:tcPr>
            <w:tcBorders>
              <w:top w:val="single" w:color="000000" w:sz="6" w:space="0"/>
              <w:left w:val="single" w:color="000000" w:sz="6" w:space="0"/>
              <w:bottom w:val="single" w:color="000000" w:sz="6" w:space="0"/>
              <w:right w:val="single" w:color="000000" w:sz="6" w:space="0"/>
            </w:tcBorders>
            <w:tcW w:w="389"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3066" w:type="pct"/>
            <w:vAlign w:val="center"/>
            <w:textDirection w:val="lrTb"/>
            <w:noWrap w:val="false"/>
          </w:tcPr>
          <w:p>
            <w:pPr>
              <w:jc w:val="left"/>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所有通过评审的有效投标报价的最低报价为评标基准价。报价得分＝（评标基准价/投标报价）*</w:t>
            </w: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rPr>
              <w:t xml:space="preserve">。注：最终结果四舍五入保留至小数点后两位。</w:t>
            </w:r>
            <w:r/>
          </w:p>
        </w:tc>
      </w:tr>
      <w:tr>
        <w:trPr>
          <w:cantSplit/>
          <w:jc w:val="center"/>
          <w:trHeight w:val="90"/>
        </w:trPr>
        <w:tc>
          <w:tcPr>
            <w:tcBorders>
              <w:top w:val="single" w:color="000000" w:sz="6" w:space="0"/>
              <w:left w:val="single" w:color="000000" w:sz="6" w:space="0"/>
              <w:right w:val="single" w:color="000000" w:sz="6" w:space="0"/>
            </w:tcBorders>
            <w:tcW w:w="725" w:type="pct"/>
            <w:vAlign w:val="center"/>
            <w:vMerge w:val="restart"/>
            <w:textDirection w:val="lrTb"/>
            <w:noWrap w:val="false"/>
          </w:tcPr>
          <w:p>
            <w:pPr>
              <w:jc w:val="left"/>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企业经营业绩、信誉</w:t>
            </w:r>
            <w:r/>
          </w:p>
        </w:tc>
        <w:tc>
          <w:tcPr>
            <w:tcBorders>
              <w:top w:val="single" w:color="000000" w:sz="6" w:space="0"/>
              <w:left w:val="single" w:color="000000" w:sz="6" w:space="0"/>
              <w:bottom w:val="single" w:color="000000" w:sz="6" w:space="0"/>
              <w:right w:val="single" w:color="000000" w:sz="6" w:space="0"/>
            </w:tcBorders>
            <w:tcW w:w="819"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企业业绩</w:t>
            </w:r>
            <w:r/>
          </w:p>
        </w:tc>
        <w:tc>
          <w:tcPr>
            <w:tcBorders>
              <w:top w:val="single" w:color="000000" w:sz="6" w:space="0"/>
              <w:left w:val="single" w:color="000000" w:sz="6" w:space="0"/>
              <w:bottom w:val="single" w:color="000000" w:sz="6" w:space="0"/>
              <w:right w:val="single" w:color="000000" w:sz="6" w:space="0"/>
            </w:tcBorders>
            <w:tcW w:w="389"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3066" w:type="pct"/>
            <w:vAlign w:val="center"/>
            <w:textDirection w:val="lrTb"/>
            <w:noWrap w:val="false"/>
          </w:tcPr>
          <w:p>
            <w:pPr>
              <w:jc w:val="left"/>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供应商自20</w:t>
            </w:r>
            <w:r>
              <w:rPr>
                <w:rFonts w:hint="eastAsia" w:ascii="仿宋" w:hAnsi="仿宋" w:eastAsia="仿宋" w:cs="仿宋"/>
                <w:color w:val="auto"/>
                <w:sz w:val="24"/>
                <w:szCs w:val="24"/>
                <w:highlight w:val="none"/>
                <w:lang w:val="en-US" w:eastAsia="zh-CN"/>
              </w:rPr>
              <w:t xml:space="preserve">23</w:t>
            </w:r>
            <w:r>
              <w:rPr>
                <w:rFonts w:hint="eastAsia" w:ascii="仿宋" w:hAnsi="仿宋" w:eastAsia="仿宋" w:cs="仿宋"/>
                <w:color w:val="auto"/>
                <w:sz w:val="24"/>
                <w:szCs w:val="24"/>
                <w:highlight w:val="none"/>
              </w:rPr>
              <w:t xml:space="preserve">年1月1日（以合同签订时间为准）以来，承担过与本项目类似的项目业绩，每有一个业绩得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分，本项最高得</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分。注：响应文件中提供业绩证明材料</w:t>
            </w:r>
            <w:r>
              <w:rPr>
                <w:rFonts w:hint="eastAsia" w:ascii="仿宋" w:hAnsi="仿宋" w:eastAsia="仿宋" w:cs="仿宋"/>
                <w:color w:val="auto"/>
                <w:sz w:val="24"/>
                <w:szCs w:val="24"/>
                <w:highlight w:val="none"/>
                <w:lang w:val="en-US" w:eastAsia="zh-CN"/>
              </w:rPr>
              <w:t xml:space="preserve">原件</w:t>
            </w:r>
            <w:r>
              <w:rPr>
                <w:rFonts w:hint="eastAsia" w:ascii="仿宋" w:hAnsi="仿宋" w:eastAsia="仿宋" w:cs="仿宋"/>
                <w:color w:val="auto"/>
                <w:sz w:val="24"/>
                <w:szCs w:val="24"/>
                <w:highlight w:val="none"/>
              </w:rPr>
              <w:t xml:space="preserve">电子件包括：中标（成交）通知书、施工合同、建设单位出具的竣工验收证明，三者缺一不可；业绩证明材料应能够明确反映供应商名称、合同签订时间、项目内容、竣工验收证明日期等清晰可见，否则不得分。</w:t>
            </w:r>
            <w:r/>
          </w:p>
        </w:tc>
      </w:tr>
      <w:tr>
        <w:trPr>
          <w:cantSplit/>
          <w:jc w:val="center"/>
          <w:trHeight w:val="90"/>
        </w:trPr>
        <w:tc>
          <w:tcPr>
            <w:tcBorders>
              <w:left w:val="single" w:color="000000" w:sz="6" w:space="0"/>
              <w:right w:val="single" w:color="000000" w:sz="6" w:space="0"/>
            </w:tcBorders>
            <w:tcW w:w="725" w:type="pct"/>
            <w:vAlign w:val="center"/>
            <w:vMerge w:val="continue"/>
            <w:textDirection w:val="lrTb"/>
            <w:noWrap w:val="false"/>
          </w:tcPr>
          <w:p>
            <w:pPr>
              <w:jc w:val="left"/>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819"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企业认证证书</w:t>
            </w:r>
            <w:r/>
          </w:p>
        </w:tc>
        <w:tc>
          <w:tcPr>
            <w:tcBorders>
              <w:top w:val="single" w:color="000000" w:sz="6" w:space="0"/>
              <w:left w:val="single" w:color="000000" w:sz="6" w:space="0"/>
              <w:bottom w:val="single" w:color="000000" w:sz="6" w:space="0"/>
              <w:right w:val="single" w:color="000000" w:sz="6" w:space="0"/>
            </w:tcBorders>
            <w:tcW w:w="389"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c>
          <w:tcPr>
            <w:tcBorders>
              <w:top w:val="single" w:color="000000" w:sz="6" w:space="0"/>
              <w:left w:val="single" w:color="000000" w:sz="6" w:space="0"/>
              <w:bottom w:val="single" w:color="000000" w:sz="6" w:space="0"/>
              <w:right w:val="single" w:color="000000" w:sz="6" w:space="0"/>
            </w:tcBorders>
            <w:tcW w:w="3066" w:type="pct"/>
            <w:vAlign w:val="top"/>
            <w:textDirection w:val="lrTb"/>
            <w:noWrap w:val="false"/>
          </w:tcPr>
          <w:p>
            <w:pPr>
              <w:ind w:left="11"/>
              <w:spacing w:before="45" w:line="300" w:lineRule="exact"/>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 xml:space="preserve">供应商具备有效期内的质量管理体系认证证书、环境管理体系认证证书、职业健康安全管理体系认证证书，每有一个得1分，本项最高得3分。</w:t>
            </w:r>
            <w:r/>
          </w:p>
          <w:p>
            <w:pPr>
              <w:ind w:left="11"/>
              <w:spacing w:before="45" w:line="300" w:lineRule="exact"/>
              <w:rPr>
                <w:rFonts w:hint="eastAsia" w:ascii="仿宋" w:hAnsi="仿宋" w:eastAsia="仿宋" w:cs="仿宋"/>
                <w:color w:val="auto"/>
                <w:spacing w:val="5"/>
                <w:sz w:val="24"/>
                <w:szCs w:val="24"/>
                <w:highlight w:val="none"/>
                <w:lang w:val="en-US" w:eastAsia="zh-CN"/>
              </w:rPr>
            </w:pPr>
            <w:r>
              <w:rPr>
                <w:rFonts w:hint="eastAsia" w:ascii="仿宋" w:hAnsi="仿宋" w:eastAsia="仿宋" w:cs="仿宋"/>
                <w:sz w:val="24"/>
                <w:szCs w:val="24"/>
                <w:highlight w:val="none"/>
              </w:rPr>
              <w:t xml:space="preserve">注：响应文件中提供证书原件电子件</w:t>
            </w:r>
            <w:r>
              <w:rPr>
                <w:rFonts w:hint="eastAsia" w:ascii="仿宋" w:hAnsi="仿宋" w:eastAsia="仿宋" w:cs="仿宋"/>
                <w:sz w:val="24"/>
                <w:szCs w:val="24"/>
                <w:highlight w:val="none"/>
                <w:lang w:val="en-US" w:eastAsia="zh-CN"/>
              </w:rPr>
              <w:t xml:space="preserve">及</w:t>
            </w:r>
            <w:r>
              <w:rPr>
                <w:rFonts w:hint="eastAsia" w:ascii="仿宋" w:hAnsi="仿宋" w:eastAsia="仿宋" w:cs="仿宋"/>
                <w:sz w:val="24"/>
                <w:szCs w:val="24"/>
                <w:highlight w:val="none"/>
              </w:rPr>
              <w:t xml:space="preserve">国家市场监督管理总局全国认证认可信息公共服务平台查询认证有效的页面截图，</w:t>
            </w:r>
            <w:r>
              <w:rPr>
                <w:rFonts w:hint="eastAsia" w:ascii="仿宋" w:hAnsi="仿宋" w:eastAsia="仿宋" w:cs="仿宋"/>
                <w:color w:val="auto"/>
                <w:sz w:val="24"/>
                <w:szCs w:val="24"/>
                <w:highlight w:val="none"/>
              </w:rPr>
              <w:t xml:space="preserve">否则不得分</w:t>
            </w:r>
            <w:r>
              <w:rPr>
                <w:rFonts w:hint="eastAsia" w:ascii="仿宋" w:hAnsi="仿宋" w:eastAsia="仿宋" w:cs="仿宋"/>
                <w:sz w:val="24"/>
                <w:szCs w:val="24"/>
                <w:highlight w:val="none"/>
                <w:lang w:eastAsia="zh-CN"/>
              </w:rPr>
              <w:t xml:space="preserve">。</w:t>
            </w:r>
            <w:r/>
          </w:p>
        </w:tc>
      </w:tr>
      <w:tr>
        <w:trPr>
          <w:cantSplit/>
          <w:jc w:val="center"/>
        </w:trPr>
        <w:tc>
          <w:tcPr>
            <w:tcBorders>
              <w:left w:val="single" w:color="000000" w:sz="6" w:space="0"/>
              <w:bottom w:val="single" w:color="auto" w:sz="4" w:space="0"/>
              <w:right w:val="single" w:color="000000" w:sz="6" w:space="0"/>
            </w:tcBorders>
            <w:tcW w:w="725" w:type="pct"/>
            <w:vAlign w:val="center"/>
            <w:vMerge w:val="continue"/>
            <w:textDirection w:val="lrTb"/>
            <w:noWrap w:val="false"/>
          </w:tcPr>
          <w:p>
            <w:pPr>
              <w:jc w:val="left"/>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auto" w:sz="4" w:space="0"/>
              <w:right w:val="single" w:color="000000" w:sz="6" w:space="0"/>
            </w:tcBorders>
            <w:tcW w:w="819" w:type="pct"/>
            <w:vAlign w:val="center"/>
            <w:textDirection w:val="lrTb"/>
            <w:noWrap w:val="false"/>
          </w:tcPr>
          <w:p>
            <w:pPr>
              <w:ind w:left="11"/>
              <w:jc w:val="center"/>
              <w:spacing w:before="45"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环境标志产品</w:t>
            </w:r>
            <w:r/>
          </w:p>
        </w:tc>
        <w:tc>
          <w:tcPr>
            <w:tcBorders>
              <w:top w:val="single" w:color="000000" w:sz="6" w:space="0"/>
              <w:left w:val="single" w:color="000000" w:sz="6" w:space="0"/>
              <w:bottom w:val="single" w:color="000000" w:sz="6" w:space="0"/>
              <w:right w:val="single" w:color="000000" w:sz="6" w:space="0"/>
            </w:tcBorders>
            <w:tcW w:w="389" w:type="pct"/>
            <w:vAlign w:val="center"/>
            <w:textDirection w:val="lrTb"/>
            <w:noWrap w:val="false"/>
          </w:tcPr>
          <w:p>
            <w:pPr>
              <w:ind w:left="11"/>
              <w:jc w:val="center"/>
              <w:spacing w:before="45"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3066" w:type="pct"/>
            <w:vAlign w:val="top"/>
            <w:textDirection w:val="lrTb"/>
            <w:noWrap w:val="false"/>
          </w:tcPr>
          <w:p>
            <w:pPr>
              <w:ind w:left="11"/>
              <w:spacing w:before="45"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工程量清单明细中的材料设备在财政部、生态环境部公布的“环境标志产品政府采购品目清单”内，且响应文件中提供国家市场监督管理局确定的列入“市场监管总局关于发布参与实施政府采购节能产品、环境标志产品认证机构名录”内的认证机构出具的、有效期内的该产品环境标志产品认证证书扫描件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分。未提供的不得分。</w:t>
            </w:r>
            <w:r/>
          </w:p>
          <w:p>
            <w:pPr>
              <w:ind w:left="11"/>
              <w:spacing w:before="45"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注：本项目工程量清单中涉及材料：混凝土属于政府优先采购的环保品目清单范围内。</w:t>
            </w:r>
            <w:r/>
          </w:p>
        </w:tc>
      </w:tr>
      <w:tr>
        <w:trPr>
          <w:cantSplit/>
          <w:jc w:val="center"/>
        </w:trPr>
        <w:tc>
          <w:tcPr>
            <w:tcBorders>
              <w:top w:val="single" w:color="auto" w:sz="4" w:space="0"/>
              <w:left w:val="single" w:color="auto" w:sz="4" w:space="0"/>
              <w:bottom w:val="single" w:color="auto" w:sz="4" w:space="0"/>
              <w:right w:val="single" w:color="auto" w:sz="4" w:space="0"/>
            </w:tcBorders>
            <w:tcW w:w="725" w:type="pct"/>
            <w:vAlign w:val="center"/>
            <w:vMerge w:val="restart"/>
            <w:textDirection w:val="lrTb"/>
            <w:noWrap w:val="false"/>
          </w:tcPr>
          <w:p>
            <w:pPr>
              <w:jc w:val="left"/>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项目组成员（项目负责人除外）</w:t>
            </w:r>
            <w:r/>
          </w:p>
        </w:tc>
        <w:tc>
          <w:tcPr>
            <w:tcBorders>
              <w:top w:val="single" w:color="auto" w:sz="4" w:space="0"/>
              <w:left w:val="single" w:color="auto" w:sz="4" w:space="0"/>
              <w:bottom w:val="single" w:color="auto" w:sz="4" w:space="0"/>
              <w:right w:val="single" w:color="auto" w:sz="4" w:space="0"/>
            </w:tcBorders>
            <w:tcW w:w="819" w:type="pct"/>
            <w:vAlign w:val="center"/>
            <w:textDirection w:val="lrTb"/>
            <w:noWrap w:val="false"/>
          </w:tcPr>
          <w:p>
            <w:pPr>
              <w:ind w:left="11"/>
              <w:jc w:val="center"/>
              <w:spacing w:before="45"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技术负责人</w:t>
            </w:r>
            <w:r/>
          </w:p>
        </w:tc>
        <w:tc>
          <w:tcPr>
            <w:tcBorders>
              <w:top w:val="single" w:color="000000" w:sz="6" w:space="0"/>
              <w:left w:val="single" w:color="auto" w:sz="4" w:space="0"/>
              <w:bottom w:val="single" w:color="000000" w:sz="6" w:space="0"/>
              <w:right w:val="single" w:color="000000" w:sz="6" w:space="0"/>
            </w:tcBorders>
            <w:tcW w:w="389" w:type="pct"/>
            <w:vAlign w:val="center"/>
            <w:textDirection w:val="lrTb"/>
            <w:noWrap w:val="false"/>
          </w:tcPr>
          <w:p>
            <w:pPr>
              <w:ind w:left="11"/>
              <w:jc w:val="left"/>
              <w:spacing w:before="45"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4.00</w:t>
            </w:r>
            <w:r/>
          </w:p>
        </w:tc>
        <w:tc>
          <w:tcPr>
            <w:tcBorders>
              <w:top w:val="single" w:color="000000" w:sz="6" w:space="0"/>
              <w:left w:val="single" w:color="000000" w:sz="6" w:space="0"/>
              <w:bottom w:val="single" w:color="000000" w:sz="6" w:space="0"/>
              <w:right w:val="single" w:color="000000" w:sz="6" w:space="0"/>
            </w:tcBorders>
            <w:tcW w:w="3066" w:type="pct"/>
            <w:vAlign w:val="center"/>
            <w:textDirection w:val="lrTb"/>
            <w:noWrap w:val="false"/>
          </w:tcPr>
          <w:p>
            <w:pPr>
              <w:ind w:left="11"/>
              <w:jc w:val="left"/>
              <w:spacing w:before="45"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1.供应商拟选派的技术负责人（项目负责人除外）具有中级职称（工程类）的得1分，具有高级（工程类）及以上职称的得2分。</w:t>
            </w:r>
            <w:r/>
          </w:p>
          <w:p>
            <w:pPr>
              <w:ind w:left="11"/>
              <w:jc w:val="left"/>
              <w:spacing w:before="45"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2.供应商拟选派的技术负责人（项目负责人除外）具有</w:t>
            </w:r>
            <w:r>
              <w:rPr>
                <w:rFonts w:hint="eastAsia" w:ascii="仿宋" w:hAnsi="仿宋" w:eastAsia="仿宋" w:cs="仿宋"/>
                <w:color w:val="auto"/>
                <w:sz w:val="24"/>
                <w:szCs w:val="24"/>
                <w:highlight w:val="none"/>
                <w:lang w:eastAsia="zh-CN"/>
              </w:rPr>
              <w:t xml:space="preserve">二级注册建造师执业资格</w:t>
            </w:r>
            <w:r>
              <w:rPr>
                <w:rFonts w:hint="eastAsia" w:ascii="仿宋" w:hAnsi="仿宋" w:eastAsia="仿宋" w:cs="仿宋"/>
                <w:color w:val="auto"/>
                <w:sz w:val="24"/>
                <w:szCs w:val="24"/>
                <w:highlight w:val="none"/>
                <w:lang w:val="en-US" w:eastAsia="zh-CN"/>
              </w:rPr>
              <w:t xml:space="preserve">证书的得1分，具有一</w:t>
            </w:r>
            <w:r>
              <w:rPr>
                <w:rFonts w:hint="eastAsia" w:ascii="仿宋" w:hAnsi="仿宋" w:eastAsia="仿宋" w:cs="仿宋"/>
                <w:color w:val="auto"/>
                <w:sz w:val="24"/>
                <w:szCs w:val="24"/>
                <w:highlight w:val="none"/>
                <w:lang w:eastAsia="zh-CN"/>
              </w:rPr>
              <w:t xml:space="preserve">级注册建造师执业资格</w:t>
            </w:r>
            <w:r>
              <w:rPr>
                <w:rFonts w:hint="eastAsia" w:ascii="仿宋" w:hAnsi="仿宋" w:eastAsia="仿宋" w:cs="仿宋"/>
                <w:color w:val="auto"/>
                <w:sz w:val="24"/>
                <w:szCs w:val="24"/>
                <w:highlight w:val="none"/>
                <w:lang w:val="en-US" w:eastAsia="zh-CN"/>
              </w:rPr>
              <w:t xml:space="preserve">证书的得2分。</w:t>
            </w:r>
            <w:r/>
          </w:p>
          <w:p>
            <w:pPr>
              <w:ind w:left="11"/>
              <w:jc w:val="left"/>
              <w:spacing w:before="45"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注：须提供相关证书原件电子件并加盖公章，并同时提供磋商截止前6个月内本单位为其办理的任意一个月社会养老保险或医疗保险缴纳证明材料，否则不得分。</w:t>
            </w:r>
            <w:r/>
          </w:p>
        </w:tc>
      </w:tr>
      <w:tr>
        <w:trPr>
          <w:cantSplit/>
          <w:jc w:val="center"/>
        </w:trPr>
        <w:tc>
          <w:tcPr>
            <w:tcBorders>
              <w:top w:val="single" w:color="auto" w:sz="4" w:space="0"/>
              <w:left w:val="single" w:color="auto" w:sz="4" w:space="0"/>
              <w:right w:val="single" w:color="000000" w:sz="6" w:space="0"/>
            </w:tcBorders>
            <w:tcW w:w="725" w:type="pct"/>
            <w:vAlign w:val="center"/>
            <w:vMerge w:val="continue"/>
            <w:textDirection w:val="lrTb"/>
            <w:noWrap w:val="false"/>
          </w:tcPr>
          <w:p>
            <w:pPr>
              <w:jc w:val="left"/>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000000" w:sz="6" w:space="0"/>
              <w:bottom w:val="single" w:color="000000" w:sz="6" w:space="0"/>
              <w:right w:val="single" w:color="000000" w:sz="6" w:space="0"/>
            </w:tcBorders>
            <w:tcW w:w="819" w:type="pct"/>
            <w:vAlign w:val="center"/>
            <w:textDirection w:val="lrTb"/>
            <w:noWrap w:val="false"/>
          </w:tcPr>
          <w:p>
            <w:pPr>
              <w:ind w:left="11"/>
              <w:jc w:val="center"/>
              <w:spacing w:before="45"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项目组其他成员</w:t>
            </w:r>
            <w:r/>
          </w:p>
        </w:tc>
        <w:tc>
          <w:tcPr>
            <w:tcBorders>
              <w:top w:val="single" w:color="000000" w:sz="6" w:space="0"/>
              <w:left w:val="single" w:color="000000" w:sz="6" w:space="0"/>
              <w:bottom w:val="single" w:color="000000" w:sz="6" w:space="0"/>
              <w:right w:val="single" w:color="000000" w:sz="6" w:space="0"/>
            </w:tcBorders>
            <w:tcW w:w="389" w:type="pct"/>
            <w:vAlign w:val="center"/>
            <w:textDirection w:val="lrTb"/>
            <w:noWrap w:val="false"/>
          </w:tcPr>
          <w:p>
            <w:pPr>
              <w:ind w:left="11"/>
              <w:jc w:val="left"/>
              <w:spacing w:before="45"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5.00</w:t>
            </w:r>
            <w:r/>
          </w:p>
        </w:tc>
        <w:tc>
          <w:tcPr>
            <w:tcBorders>
              <w:top w:val="single" w:color="000000" w:sz="6" w:space="0"/>
              <w:left w:val="single" w:color="000000" w:sz="6" w:space="0"/>
              <w:bottom w:val="single" w:color="000000" w:sz="6" w:space="0"/>
              <w:right w:val="single" w:color="000000" w:sz="6" w:space="0"/>
            </w:tcBorders>
            <w:tcW w:w="3066" w:type="pct"/>
            <w:vAlign w:val="center"/>
            <w:textDirection w:val="lrTb"/>
            <w:noWrap w:val="false"/>
          </w:tcPr>
          <w:p>
            <w:pPr>
              <w:ind w:left="11"/>
              <w:jc w:val="left"/>
              <w:spacing w:before="45"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供应商拟选派的</w:t>
            </w:r>
            <w:r>
              <w:rPr>
                <w:rFonts w:hint="eastAsia" w:ascii="仿宋" w:hAnsi="仿宋" w:eastAsia="仿宋" w:cs="仿宋"/>
                <w:color w:val="auto"/>
                <w:sz w:val="24"/>
                <w:szCs w:val="24"/>
                <w:highlight w:val="none"/>
                <w:lang w:val="en-US" w:eastAsia="zh-CN"/>
              </w:rPr>
              <w:t xml:space="preserve">质量员、安全员、施工员、资料员、材料员（项目负责人、技术负责人除外）具有中级及以上职称（工程类）的每有一个得1分，本项最高得5分。</w:t>
            </w:r>
            <w:r/>
          </w:p>
          <w:p>
            <w:pPr>
              <w:ind w:left="11"/>
              <w:jc w:val="left"/>
              <w:spacing w:before="45"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注：以上人员须提供相关证书原件电子件并加盖公章，并同时提供磋商截止前6个月内本单位为其办理的任意一个月社会养老保险或医疗保险缴纳证明材料，否则不得分。</w:t>
            </w:r>
            <w:r>
              <w:rPr>
                <w:rFonts w:hint="eastAsia" w:ascii="仿宋" w:hAnsi="仿宋" w:eastAsia="仿宋" w:cs="仿宋"/>
                <w:color w:val="auto"/>
                <w:sz w:val="24"/>
                <w:szCs w:val="24"/>
                <w:highlight w:val="none"/>
                <w:lang w:val="en-US" w:eastAsia="zh-CN"/>
              </w:rPr>
              <w:t xml:space="preserve">同一人员证书仅计分一次。</w:t>
            </w:r>
            <w:r/>
          </w:p>
        </w:tc>
      </w:tr>
      <w:tr>
        <w:trPr>
          <w:cantSplit/>
          <w:jc w:val="center"/>
        </w:trPr>
        <w:tc>
          <w:tcPr>
            <w:tcBorders>
              <w:top w:val="single" w:color="000000" w:sz="6" w:space="0"/>
              <w:left w:val="single" w:color="000000" w:sz="6" w:space="0"/>
              <w:right w:val="single" w:color="000000" w:sz="6" w:space="0"/>
            </w:tcBorders>
            <w:tcW w:w="725" w:type="pct"/>
            <w:vAlign w:val="center"/>
            <w:vMerge w:val="restart"/>
            <w:textDirection w:val="lrTb"/>
            <w:noWrap w:val="false"/>
          </w:tcPr>
          <w:p>
            <w:pPr>
              <w:jc w:val="left"/>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项目实施方案</w:t>
            </w:r>
            <w:r/>
          </w:p>
        </w:tc>
        <w:tc>
          <w:tcPr>
            <w:tcBorders>
              <w:top w:val="single" w:color="000000" w:sz="6" w:space="0"/>
              <w:left w:val="single" w:color="000000" w:sz="6" w:space="0"/>
              <w:bottom w:val="single" w:color="000000" w:sz="6" w:space="0"/>
              <w:right w:val="single" w:color="000000" w:sz="6" w:space="0"/>
            </w:tcBorders>
            <w:tcW w:w="819"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施工组织总体方案</w:t>
            </w:r>
            <w:r/>
          </w:p>
        </w:tc>
        <w:tc>
          <w:tcPr>
            <w:tcBorders>
              <w:top w:val="single" w:color="000000" w:sz="6" w:space="0"/>
              <w:left w:val="single" w:color="000000" w:sz="6" w:space="0"/>
              <w:bottom w:val="single" w:color="000000" w:sz="6" w:space="0"/>
              <w:right w:val="single" w:color="000000" w:sz="6" w:space="0"/>
            </w:tcBorders>
            <w:tcW w:w="389"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3066" w:type="pct"/>
            <w:vAlign w:val="center"/>
            <w:textDirection w:val="lrTb"/>
            <w:noWrap w:val="false"/>
          </w:tcPr>
          <w:p>
            <w:pPr>
              <w:jc w:val="left"/>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根据供应商对项目总体施工布置及规划、施工组织内容的完整性、施工工艺流程、各分部分项工程工序计划安排进行打分。方案内容完整，符合实际情况且优于采购需求的得</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分；方案内容完整，较符合现场实际情况且基本符合采购需求的得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分；缺乏现场资料，措施不完善，但基本符合规范要求，通过后期优化能够满足采购需求的得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分；内容一般，可行性差的得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分；没有内容或其他情况不满足磋商文件需求的不得分。</w:t>
            </w:r>
            <w:r/>
          </w:p>
        </w:tc>
      </w:tr>
      <w:tr>
        <w:trPr>
          <w:cantSplit/>
          <w:jc w:val="center"/>
        </w:trPr>
        <w:tc>
          <w:tcPr>
            <w:tcBorders>
              <w:left w:val="single" w:color="000000" w:sz="6" w:space="0"/>
              <w:right w:val="single" w:color="000000" w:sz="6" w:space="0"/>
            </w:tcBorders>
            <w:tcW w:w="725" w:type="pct"/>
            <w:vAlign w:val="center"/>
            <w:vMerge w:val="continue"/>
            <w:textDirection w:val="lrTb"/>
            <w:noWrap w:val="false"/>
          </w:tcPr>
          <w:p>
            <w:pPr>
              <w:jc w:val="left"/>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819"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质量保证、安全文明施工及环境保护措施</w:t>
            </w:r>
            <w:r/>
          </w:p>
        </w:tc>
        <w:tc>
          <w:tcPr>
            <w:tcBorders>
              <w:top w:val="single" w:color="000000" w:sz="6" w:space="0"/>
              <w:left w:val="single" w:color="000000" w:sz="6" w:space="0"/>
              <w:bottom w:val="single" w:color="000000" w:sz="6" w:space="0"/>
              <w:right w:val="single" w:color="000000" w:sz="6" w:space="0"/>
            </w:tcBorders>
            <w:tcW w:w="389"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3066" w:type="pct"/>
            <w:vAlign w:val="center"/>
            <w:textDirection w:val="lrTb"/>
            <w:noWrap w:val="false"/>
          </w:tcPr>
          <w:p>
            <w:pPr>
              <w:jc w:val="left"/>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根据供应商对本项目质量保证措施、安全文明施工及环境保护措施进行打分。方案内容完整，符合实际情况且优于采购需求的得</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分；方案内容完整，较符合现场实际情况且基本符合采购需求的得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分；缺乏现场资料，措施不完善，但基本符合规范要求，通过后期优化能够满足采购需求的得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分；内容一般，可行性差的得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分；没有内容或其他情况不满足磋商文件需求的不得分。</w:t>
            </w:r>
            <w:r/>
          </w:p>
        </w:tc>
      </w:tr>
      <w:tr>
        <w:trPr>
          <w:cantSplit/>
          <w:jc w:val="center"/>
        </w:trPr>
        <w:tc>
          <w:tcPr>
            <w:tcBorders>
              <w:left w:val="single" w:color="000000" w:sz="6" w:space="0"/>
              <w:right w:val="single" w:color="000000" w:sz="6" w:space="0"/>
            </w:tcBorders>
            <w:tcW w:w="725" w:type="pct"/>
            <w:vAlign w:val="center"/>
            <w:vMerge w:val="continue"/>
            <w:textDirection w:val="lrTb"/>
            <w:noWrap w:val="false"/>
          </w:tcPr>
          <w:p>
            <w:pPr>
              <w:jc w:val="left"/>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819"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施工进度计划和各阶段进度的保证措施</w:t>
            </w:r>
            <w:r/>
          </w:p>
        </w:tc>
        <w:tc>
          <w:tcPr>
            <w:tcBorders>
              <w:top w:val="single" w:color="000000" w:sz="6" w:space="0"/>
              <w:left w:val="single" w:color="000000" w:sz="6" w:space="0"/>
              <w:bottom w:val="single" w:color="000000" w:sz="6" w:space="0"/>
              <w:right w:val="single" w:color="000000" w:sz="6" w:space="0"/>
            </w:tcBorders>
            <w:tcW w:w="389"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3066" w:type="pct"/>
            <w:vAlign w:val="center"/>
            <w:textDirection w:val="lrTb"/>
            <w:noWrap w:val="false"/>
          </w:tcPr>
          <w:p>
            <w:pPr>
              <w:jc w:val="left"/>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根据供应商对本项目施工进度计划、各阶段的进度保证措施进行打分。进度计划详细具体，各阶段进度计划保证措施可靠、组织严谨、符合本次施工现场实际情况且优于采购需求的得</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分；进度计划详细具体，各阶段进度计划保证措施不完善、但能满足采购需求的得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分；进度计划内容和各阶段进度计划保证措施简略、进度计划内容和各阶段进度计划保证措施不能对应、需通过后期优化方案才能满足采购需求的得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分；内容一般，可行性差的得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分；没有内容或其他情况不满足磋商文件需求的不得分。</w:t>
            </w:r>
            <w:r/>
          </w:p>
        </w:tc>
      </w:tr>
      <w:tr>
        <w:trPr>
          <w:cantSplit/>
          <w:jc w:val="center"/>
        </w:trPr>
        <w:tc>
          <w:tcPr>
            <w:tcBorders>
              <w:left w:val="single" w:color="000000" w:sz="6" w:space="0"/>
              <w:right w:val="single" w:color="000000" w:sz="6" w:space="0"/>
            </w:tcBorders>
            <w:tcW w:w="725" w:type="pct"/>
            <w:vAlign w:val="center"/>
            <w:vMerge w:val="continue"/>
            <w:textDirection w:val="lrTb"/>
            <w:noWrap w:val="false"/>
          </w:tcPr>
          <w:p>
            <w:pPr>
              <w:jc w:val="left"/>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819" w:type="pct"/>
            <w:vAlign w:val="center"/>
            <w:textDirection w:val="lrTb"/>
            <w:noWrap w:val="false"/>
          </w:tcPr>
          <w:p>
            <w:pPr>
              <w:jc w:val="left"/>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拟投入本工程的机械、设备</w:t>
            </w:r>
            <w:r/>
          </w:p>
        </w:tc>
        <w:tc>
          <w:tcPr>
            <w:tcBorders>
              <w:top w:val="single" w:color="000000" w:sz="6" w:space="0"/>
              <w:left w:val="single" w:color="000000" w:sz="6" w:space="0"/>
              <w:bottom w:val="single" w:color="000000" w:sz="6" w:space="0"/>
              <w:right w:val="single" w:color="000000" w:sz="6" w:space="0"/>
            </w:tcBorders>
            <w:tcW w:w="389" w:type="pct"/>
            <w:vAlign w:val="center"/>
            <w:textDirection w:val="lrTb"/>
            <w:noWrap w:val="false"/>
          </w:tcPr>
          <w:p>
            <w:pPr>
              <w:jc w:val="left"/>
              <w:spacing w:line="3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8.00</w:t>
            </w:r>
            <w:r/>
          </w:p>
        </w:tc>
        <w:tc>
          <w:tcPr>
            <w:tcBorders>
              <w:top w:val="single" w:color="000000" w:sz="6" w:space="0"/>
              <w:left w:val="single" w:color="000000" w:sz="6" w:space="0"/>
              <w:bottom w:val="single" w:color="000000" w:sz="6" w:space="0"/>
              <w:right w:val="single" w:color="000000" w:sz="6" w:space="0"/>
            </w:tcBorders>
            <w:tcW w:w="3066" w:type="pct"/>
            <w:vAlign w:val="center"/>
            <w:textDirection w:val="lrTb"/>
            <w:noWrap w:val="false"/>
          </w:tcPr>
          <w:p>
            <w:pPr>
              <w:jc w:val="left"/>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根据供应商对本项目拟投入本工程的机械、设备的种类是否齐全、数量是否满足工程施工要求、是否符合本项目施工现场特点进行打分。方案内容完整，符合实际情况且优于采购需求的得</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分；方案内容完整，较符合现场实际情况且基本符合采购需求的得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分；缺乏现场资料，措施不完善，但基本符合规范要求，通过后期优化能够满足采购需求的得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分；内容一般，可行性差的得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分；没有内容或其他情况不满足磋商文件需求的不得分。</w:t>
            </w:r>
            <w:r/>
          </w:p>
        </w:tc>
      </w:tr>
      <w:tr>
        <w:trPr>
          <w:cantSplit/>
          <w:jc w:val="center"/>
        </w:trPr>
        <w:tc>
          <w:tcPr>
            <w:tcBorders>
              <w:left w:val="single" w:color="000000" w:sz="6" w:space="0"/>
              <w:right w:val="single" w:color="000000" w:sz="6" w:space="0"/>
            </w:tcBorders>
            <w:tcW w:w="725" w:type="pct"/>
            <w:vAlign w:val="center"/>
            <w:vMerge w:val="continue"/>
            <w:textDirection w:val="lrTb"/>
            <w:noWrap w:val="false"/>
          </w:tcPr>
          <w:p>
            <w:pPr>
              <w:jc w:val="left"/>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819" w:type="pct"/>
            <w:vAlign w:val="center"/>
            <w:textDirection w:val="lrTb"/>
            <w:noWrap w:val="false"/>
          </w:tcPr>
          <w:p>
            <w:pPr>
              <w:jc w:val="center"/>
              <w:spacing w:line="3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施工过程重点难点分析</w:t>
            </w:r>
            <w:r/>
          </w:p>
        </w:tc>
        <w:tc>
          <w:tcPr>
            <w:tcBorders>
              <w:top w:val="single" w:color="000000" w:sz="6" w:space="0"/>
              <w:left w:val="single" w:color="000000" w:sz="6" w:space="0"/>
              <w:bottom w:val="single" w:color="000000" w:sz="6" w:space="0"/>
              <w:right w:val="single" w:color="000000" w:sz="6" w:space="0"/>
            </w:tcBorders>
            <w:tcW w:w="389"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3066" w:type="pct"/>
            <w:vAlign w:val="center"/>
            <w:textDirection w:val="lrTb"/>
            <w:noWrap w:val="false"/>
          </w:tcPr>
          <w:p>
            <w:pPr>
              <w:jc w:val="left"/>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根据供应商对本项目关键施工技术、工艺及工程项目实施的重点、难点和解决方案等进行打分。方案内容完整，符合实际情况且优于采购需求的得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分；方案内容完整，较符合现场实际情况且基本符合采购需求的得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分；缺乏现场资料，措施不完善，但基本符合规范要求，通过后期优化能够满足采购需求的得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分；内容一般，可行性差的得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分；没有内容或其他情况不满足磋商文件需求的不得分。</w:t>
            </w:r>
            <w:r/>
          </w:p>
        </w:tc>
      </w:tr>
      <w:tr>
        <w:trPr>
          <w:cantSplit/>
          <w:jc w:val="center"/>
        </w:trPr>
        <w:tc>
          <w:tcPr>
            <w:tcBorders>
              <w:left w:val="single" w:color="000000" w:sz="6" w:space="0"/>
              <w:right w:val="single" w:color="000000" w:sz="6" w:space="0"/>
            </w:tcBorders>
            <w:tcW w:w="725" w:type="pct"/>
            <w:vAlign w:val="center"/>
            <w:vMerge w:val="continue"/>
            <w:textDirection w:val="lrTb"/>
            <w:noWrap w:val="false"/>
          </w:tcPr>
          <w:p>
            <w:pPr>
              <w:jc w:val="left"/>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819"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项目管理</w:t>
            </w:r>
            <w:r/>
          </w:p>
        </w:tc>
        <w:tc>
          <w:tcPr>
            <w:tcBorders>
              <w:top w:val="single" w:color="000000" w:sz="6" w:space="0"/>
              <w:left w:val="single" w:color="000000" w:sz="6" w:space="0"/>
              <w:bottom w:val="single" w:color="000000" w:sz="6" w:space="0"/>
              <w:right w:val="single" w:color="000000" w:sz="6" w:space="0"/>
            </w:tcBorders>
            <w:tcW w:w="389" w:type="pct"/>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3066" w:type="pct"/>
            <w:vAlign w:val="center"/>
            <w:textDirection w:val="lrTb"/>
            <w:noWrap w:val="false"/>
          </w:tcPr>
          <w:p>
            <w:pPr>
              <w:jc w:val="left"/>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根据供应商对本项目管理班子的人员配备、劳动力、</w:t>
            </w:r>
            <w:r>
              <w:rPr>
                <w:rFonts w:hint="eastAsia" w:ascii="仿宋" w:hAnsi="仿宋" w:eastAsia="仿宋" w:cs="仿宋"/>
                <w:color w:val="auto"/>
                <w:sz w:val="24"/>
                <w:szCs w:val="24"/>
                <w:highlight w:val="none"/>
                <w:lang w:val="en-US" w:eastAsia="zh-CN"/>
              </w:rPr>
              <w:t xml:space="preserve">材料选用</w:t>
            </w:r>
            <w:r>
              <w:rPr>
                <w:rFonts w:hint="eastAsia" w:ascii="仿宋" w:hAnsi="仿宋" w:eastAsia="仿宋" w:cs="仿宋"/>
                <w:color w:val="auto"/>
                <w:sz w:val="24"/>
                <w:szCs w:val="24"/>
                <w:highlight w:val="none"/>
                <w:lang w:eastAsia="zh-CN"/>
              </w:rPr>
              <w:t xml:space="preserve">、采购管理、质量控制、安全环保及材料的储存与保管等</w:t>
            </w:r>
            <w:r>
              <w:rPr>
                <w:rFonts w:hint="eastAsia" w:ascii="仿宋" w:hAnsi="仿宋" w:eastAsia="仿宋" w:cs="仿宋"/>
                <w:color w:val="auto"/>
                <w:sz w:val="24"/>
                <w:szCs w:val="24"/>
                <w:highlight w:val="none"/>
              </w:rPr>
              <w:t xml:space="preserve">计划等进行打分。方案内容完整，符合实际情况且优于采购需求的得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分；方案内容完整，较符合现场实际情况且基本符合采购需求的得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分；缺乏现场资料，措施不完善，但基本符合规范要求，通过后期优化能够满足采购需求的得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分；内容一般，可行性差的得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分；没有内容或其他情况不满足磋商文件需求的不得分。</w:t>
            </w:r>
            <w:r/>
          </w:p>
        </w:tc>
      </w:tr>
    </w:tbl>
    <w:p>
      <w:pPr>
        <w:ind w:firstLine="482"/>
        <w:keepLines w:val="0"/>
        <w:keepNext w:val="0"/>
        <w:pageBreakBefore w:val="0"/>
        <w:spacing w:line="560" w:lineRule="exact"/>
        <w:widowControl w:val="off"/>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（三）评标结果。磋商小组按照本办法规定推荐成交候选人，并形成评标报告。</w:t>
      </w:r>
      <w:r/>
    </w:p>
    <w:p>
      <w:pPr>
        <w:ind w:firstLine="482"/>
        <w:keepLines w:val="0"/>
        <w:keepNext w:val="0"/>
        <w:pageBreakBefore w:val="0"/>
        <w:spacing w:line="560" w:lineRule="exact"/>
        <w:widowControl w:val="off"/>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（四）政府采购政策功能落实</w:t>
      </w:r>
      <w:r/>
    </w:p>
    <w:p>
      <w:pPr>
        <w:ind w:firstLine="482"/>
        <w:keepLines w:val="0"/>
        <w:keepNext w:val="0"/>
        <w:pageBreakBefore w:val="0"/>
        <w:spacing w:line="560" w:lineRule="exact"/>
        <w:widowControl w:val="off"/>
        <w:rPr>
          <w:rFonts w:hint="eastAsia" w:ascii="仿宋" w:hAnsi="仿宋" w:eastAsia="仿宋" w:cs="仿宋"/>
          <w:b/>
          <w:bCs/>
          <w:color w:val="auto"/>
          <w:sz w:val="24"/>
          <w:highlight w:val="none"/>
          <w:u w:val="single"/>
        </w:rPr>
        <w:outlineLvl w:val="9"/>
      </w:pPr>
      <w:r>
        <w:rPr>
          <w:rFonts w:hint="eastAsia" w:ascii="仿宋" w:hAnsi="仿宋" w:eastAsia="仿宋" w:cs="仿宋"/>
          <w:b/>
          <w:bCs/>
          <w:color w:val="auto"/>
          <w:sz w:val="24"/>
          <w:highlight w:val="none"/>
        </w:rPr>
        <w:t xml:space="preserve">本项目落实的政府采购政策对应以下序号为</w:t>
      </w:r>
      <w:r>
        <w:rPr>
          <w:rFonts w:hint="eastAsia" w:ascii="仿宋" w:hAnsi="仿宋" w:eastAsia="仿宋" w:cs="仿宋"/>
          <w:b/>
          <w:bCs/>
          <w:color w:val="auto"/>
          <w:sz w:val="24"/>
          <w:highlight w:val="none"/>
          <w:u w:val="single"/>
        </w:rPr>
        <w:t xml:space="preserve">1、2、3、4</w:t>
      </w:r>
      <w:r/>
    </w:p>
    <w:p>
      <w:pPr>
        <w:ind w:firstLine="480"/>
        <w:keepLines w:val="0"/>
        <w:keepNext w:val="0"/>
        <w:pageBreakBefore w:val="0"/>
        <w:spacing w:line="56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1.采购本国货物、工程和服务</w:t>
      </w:r>
      <w:r/>
    </w:p>
    <w:p>
      <w:pPr>
        <w:ind w:firstLine="480"/>
        <w:keepLines w:val="0"/>
        <w:keepNext w:val="0"/>
        <w:pageBreakBefore w:val="0"/>
        <w:spacing w:line="56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keepLines w:val="0"/>
        <w:keepNext w:val="0"/>
        <w:pageBreakBefore w:val="0"/>
        <w:spacing w:line="56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2.中小企业政策</w:t>
      </w:r>
      <w:r/>
    </w:p>
    <w:p>
      <w:pPr>
        <w:ind w:firstLine="480"/>
        <w:keepLines w:val="0"/>
        <w:keepNext w:val="0"/>
        <w:pageBreakBefore w:val="0"/>
        <w:spacing w:line="56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本项目按以下第（1）种政策确定本项目落实的中小企业政策：</w:t>
      </w:r>
      <w:r/>
    </w:p>
    <w:p>
      <w:pPr>
        <w:ind w:firstLine="480"/>
        <w:keepLines w:val="0"/>
        <w:keepNext w:val="0"/>
        <w:pageBreakBefore w:val="0"/>
        <w:spacing w:line="56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（1）本项目专门面向中小企业（含监狱企业、残疾人福利企业）采购。</w:t>
      </w:r>
      <w:r/>
    </w:p>
    <w:p>
      <w:pPr>
        <w:ind w:firstLine="480"/>
        <w:keepLines w:val="0"/>
        <w:keepNext w:val="0"/>
        <w:pageBreakBefore w:val="0"/>
        <w:spacing w:line="56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提供的服务符合规定情形的，对小微企业报价给予扣除（扣除比例详见“</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须知”</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“政府采购政策”相关条款），用扣除后的价格参加评审。</w:t>
      </w:r>
      <w:r/>
    </w:p>
    <w:p>
      <w:pPr>
        <w:ind w:firstLine="480"/>
        <w:keepLines w:val="0"/>
        <w:keepNext w:val="0"/>
        <w:pageBreakBefore w:val="0"/>
        <w:spacing w:line="56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提供的服务符合下列情形的，对小微企业报价给予</w:t>
      </w:r>
      <w:r>
        <w:rPr>
          <w:rFonts w:hint="eastAsia" w:ascii="仿宋" w:hAnsi="仿宋" w:eastAsia="仿宋" w:cs="仿宋"/>
          <w:i/>
          <w:iCs/>
          <w:color w:val="auto"/>
          <w:sz w:val="24"/>
          <w:highlight w:val="none"/>
          <w:u w:val="single"/>
          <w:lang w:val="en-US" w:eastAsia="zh-CN"/>
        </w:rPr>
        <w:t xml:space="preserve"> / </w:t>
      </w:r>
      <w:r>
        <w:rPr>
          <w:rFonts w:hint="eastAsia" w:ascii="仿宋" w:hAnsi="仿宋" w:eastAsia="仿宋" w:cs="仿宋"/>
          <w:color w:val="auto"/>
          <w:sz w:val="24"/>
          <w:highlight w:val="none"/>
        </w:rPr>
        <w:t xml:space="preserve">%的扣除，用扣除后的价格参加评审。</w:t>
      </w:r>
      <w:r/>
    </w:p>
    <w:p>
      <w:pPr>
        <w:ind w:firstLine="480"/>
        <w:keepLines w:val="0"/>
        <w:keepNext w:val="0"/>
        <w:pageBreakBefore w:val="0"/>
        <w:spacing w:line="56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在工程采购项目中，工程由中小企业承建，即工程施工单位为中小企业。</w:t>
      </w:r>
      <w:r/>
    </w:p>
    <w:p>
      <w:pPr>
        <w:ind w:firstLine="480"/>
        <w:keepLines w:val="0"/>
        <w:keepNext w:val="0"/>
        <w:pageBreakBefore w:val="0"/>
        <w:spacing w:line="56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keepLines w:val="0"/>
        <w:keepNext w:val="0"/>
        <w:pageBreakBefore w:val="0"/>
        <w:spacing w:line="56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含新疆生产建设兵团</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出具的属于监狱企业的证明文件（投标文件中上传加盖出具单位公章的电子件）。</w:t>
      </w:r>
      <w:r/>
    </w:p>
    <w:p>
      <w:pPr>
        <w:ind w:firstLine="480"/>
        <w:keepLines w:val="0"/>
        <w:keepNext w:val="0"/>
        <w:pageBreakBefore w:val="0"/>
        <w:spacing w:line="56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56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3.政府采购节能产品、环境标志产品</w:t>
      </w:r>
      <w:r/>
    </w:p>
    <w:p>
      <w:pPr>
        <w:ind w:firstLine="480"/>
        <w:keepLines w:val="0"/>
        <w:keepNext w:val="0"/>
        <w:pageBreakBefore w:val="0"/>
        <w:spacing w:line="56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须按招标文件要求提供相关产品认证证书。</w:t>
      </w:r>
      <w:r/>
    </w:p>
    <w:p>
      <w:pPr>
        <w:ind w:firstLine="480"/>
        <w:keepLines w:val="0"/>
        <w:keepNext w:val="0"/>
        <w:pageBreakBefore w:val="0"/>
        <w:spacing w:line="56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）采购人拟采购的产品属于优先采购的节能环保品目清单范围的，按以下条件优先采购：</w:t>
      </w:r>
      <w:r/>
    </w:p>
    <w:p>
      <w:pPr>
        <w:ind w:firstLine="480"/>
        <w:keepLines w:val="0"/>
        <w:keepNext w:val="0"/>
        <w:pageBreakBefore w:val="0"/>
        <w:spacing w:line="56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采用综合评分法的项目，对提供有效节能环保证书的</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加分。</w:t>
      </w:r>
      <w:r/>
    </w:p>
    <w:p>
      <w:pPr>
        <w:ind w:firstLine="480"/>
        <w:keepLines w:val="0"/>
        <w:keepNext w:val="0"/>
        <w:pageBreakBefore w:val="0"/>
        <w:spacing w:line="56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.商品包装、快递包装政府采购需求标准（试行）</w:t>
      </w:r>
      <w:r/>
    </w:p>
    <w:p>
      <w:pPr>
        <w:ind w:firstLine="480"/>
        <w:keepLines w:val="0"/>
        <w:keepNext w:val="0"/>
        <w:pageBreakBefore w:val="0"/>
        <w:spacing w:line="560" w:lineRule="exact"/>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clear="all"/>
      </w:r>
      <w:r/>
    </w:p>
    <w:p>
      <w:pPr>
        <w:jc w:val="center"/>
        <w:keepNext/>
        <w:rPr>
          <w:rFonts w:hint="eastAsia" w:ascii="仿宋" w:hAnsi="仿宋" w:eastAsia="仿宋" w:cs="仿宋"/>
          <w:b/>
          <w:bCs/>
          <w:color w:val="auto"/>
          <w:sz w:val="44"/>
          <w:szCs w:val="44"/>
          <w:highlight w:val="none"/>
        </w:rPr>
        <w:outlineLvl w:val="0"/>
      </w:pPr>
      <w:r/>
      <w:bookmarkStart w:id="426" w:name="_Toc115"/>
      <w:r>
        <w:rPr>
          <w:rFonts w:hint="eastAsia" w:ascii="仿宋" w:hAnsi="仿宋" w:eastAsia="仿宋" w:cs="仿宋"/>
          <w:b/>
          <w:bCs/>
          <w:color w:val="auto"/>
          <w:sz w:val="44"/>
          <w:szCs w:val="44"/>
          <w:highlight w:val="none"/>
        </w:rPr>
        <w:t xml:space="preserve">第六章  </w:t>
      </w:r>
      <w:r>
        <w:rPr>
          <w:rFonts w:hint="eastAsia" w:ascii="仿宋" w:hAnsi="仿宋" w:eastAsia="仿宋" w:cs="仿宋"/>
          <w:b/>
          <w:bCs/>
          <w:color w:val="auto"/>
          <w:sz w:val="44"/>
          <w:szCs w:val="44"/>
          <w:highlight w:val="none"/>
        </w:rPr>
        <w:t xml:space="preserve">响应文件格式</w:t>
      </w:r>
      <w:bookmarkEnd w:id="426"/>
      <w:r/>
      <w:r/>
    </w:p>
    <w:p>
      <w:pPr>
        <w:jc w:val="center"/>
        <w:rPr>
          <w:rFonts w:hint="eastAsia" w:ascii="仿宋" w:hAnsi="仿宋" w:eastAsia="仿宋" w:cs="仿宋"/>
          <w:b/>
          <w:color w:val="auto"/>
          <w:sz w:val="72"/>
          <w:szCs w:val="21"/>
          <w:highlight w:val="none"/>
        </w:rPr>
      </w:pPr>
      <w:r/>
      <w:bookmarkStart w:id="294" w:name="_Hlt26671244"/>
      <w:r/>
      <w:bookmarkEnd w:id="294"/>
      <w:r/>
      <w:bookmarkStart w:id="295" w:name="_Hlt26955039"/>
      <w:r/>
      <w:bookmarkEnd w:id="295"/>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响  应  文  件</w:t>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firstLine="1084"/>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项 目 名 称：</w:t>
      </w:r>
      <w:r>
        <w:rPr>
          <w:rFonts w:hint="eastAsia" w:ascii="仿宋" w:hAnsi="仿宋" w:eastAsia="仿宋" w:cs="仿宋"/>
          <w:b/>
          <w:color w:val="auto"/>
          <w:sz w:val="36"/>
          <w:highlight w:val="none"/>
          <w:u w:val="single"/>
        </w:rPr>
        <w:t xml:space="preserve">               </w:t>
      </w:r>
      <w:r/>
    </w:p>
    <w:p>
      <w:pPr>
        <w:ind w:firstLine="1084"/>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项 目 编 号：</w:t>
      </w:r>
      <w:r>
        <w:rPr>
          <w:rFonts w:hint="eastAsia" w:ascii="仿宋" w:hAnsi="仿宋" w:eastAsia="仿宋" w:cs="仿宋"/>
          <w:b/>
          <w:color w:val="auto"/>
          <w:sz w:val="36"/>
          <w:highlight w:val="none"/>
          <w:u w:val="single"/>
        </w:rPr>
        <w:t xml:space="preserve">               </w:t>
      </w:r>
      <w:r/>
    </w:p>
    <w:p>
      <w:pPr>
        <w:rPr>
          <w:rFonts w:hint="eastAsia" w:ascii="仿宋" w:hAnsi="仿宋" w:eastAsia="仿宋" w:cs="仿宋"/>
          <w:b/>
          <w:color w:val="auto"/>
          <w:sz w:val="36"/>
          <w:highlight w:val="none"/>
          <w:u w:val="single"/>
        </w:rPr>
        <w:outlineLvl w:val="9"/>
      </w:pPr>
      <w:r>
        <w:rPr>
          <w:rFonts w:hint="eastAsia" w:ascii="仿宋" w:hAnsi="仿宋" w:eastAsia="仿宋" w:cs="仿宋"/>
          <w:b/>
          <w:color w:val="auto"/>
          <w:sz w:val="36"/>
          <w:highlight w:val="none"/>
        </w:rPr>
        <w:t xml:space="preserve">      </w:t>
      </w:r>
      <w:r>
        <w:rPr>
          <w:rFonts w:hint="eastAsia" w:ascii="仿宋" w:hAnsi="仿宋" w:eastAsia="仿宋" w:cs="仿宋"/>
          <w:b/>
          <w:color w:val="auto"/>
          <w:sz w:val="36"/>
          <w:highlight w:val="none"/>
          <w:lang w:eastAsia="zh-CN"/>
        </w:rPr>
        <w:t xml:space="preserve">供应商</w:t>
      </w:r>
      <w:r>
        <w:rPr>
          <w:rFonts w:hint="eastAsia" w:ascii="仿宋" w:hAnsi="仿宋" w:eastAsia="仿宋" w:cs="仿宋"/>
          <w:b/>
          <w:color w:val="auto"/>
          <w:sz w:val="36"/>
          <w:highlight w:val="none"/>
        </w:rPr>
        <w:t xml:space="preserve">名称 ：</w:t>
      </w:r>
      <w:r>
        <w:rPr>
          <w:rFonts w:hint="eastAsia" w:ascii="仿宋" w:hAnsi="仿宋" w:eastAsia="仿宋" w:cs="仿宋"/>
          <w:b/>
          <w:color w:val="auto"/>
          <w:sz w:val="36"/>
          <w:highlight w:val="none"/>
          <w:u w:val="single"/>
        </w:rPr>
        <w:t xml:space="preserve">（加盖CA电子公章）</w:t>
      </w:r>
      <w:r/>
    </w:p>
    <w:p>
      <w:pPr>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      日      期 ：</w:t>
      </w:r>
      <w:r>
        <w:rPr>
          <w:rFonts w:hint="eastAsia" w:ascii="仿宋" w:hAnsi="仿宋" w:eastAsia="仿宋" w:cs="仿宋"/>
          <w:b/>
          <w:color w:val="auto"/>
          <w:sz w:val="36"/>
          <w:highlight w:val="none"/>
          <w:u w:val="single"/>
        </w:rPr>
        <w:t xml:space="preserve">               </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1084"/>
        <w:rPr>
          <w:rFonts w:hint="eastAsia" w:ascii="仿宋" w:hAnsi="仿宋" w:eastAsia="仿宋" w:cs="仿宋"/>
          <w:b/>
          <w:bCs/>
          <w:color w:val="auto"/>
          <w:sz w:val="32"/>
          <w:szCs w:val="32"/>
          <w:highlight w:val="none"/>
        </w:rPr>
      </w:pPr>
      <w:r>
        <w:rPr>
          <w:rFonts w:hint="eastAsia" w:ascii="仿宋" w:hAnsi="仿宋" w:eastAsia="仿宋" w:cs="仿宋"/>
          <w:b/>
          <w:color w:val="auto"/>
          <w:sz w:val="36"/>
          <w:szCs w:val="21"/>
          <w:highlight w:val="none"/>
          <w:u w:val="single"/>
        </w:rPr>
        <w:br w:type="page" w:clear="all"/>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响应文件目录</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left="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一、磋商申请及声明</w:t>
      </w:r>
      <w:r/>
    </w:p>
    <w:p>
      <w:pPr>
        <w:ind w:left="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二、供应商基本信息</w:t>
      </w:r>
      <w:r/>
    </w:p>
    <w:p>
      <w:pPr>
        <w:ind w:left="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三、特定资格要求的证明文件</w:t>
      </w:r>
      <w:r/>
    </w:p>
    <w:p>
      <w:pPr>
        <w:ind w:left="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四、法人授权书</w:t>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五、中小</w:t>
      </w:r>
      <w:r>
        <w:rPr>
          <w:rFonts w:hint="eastAsia" w:ascii="仿宋" w:hAnsi="仿宋" w:eastAsia="仿宋" w:cs="仿宋"/>
          <w:color w:val="auto"/>
          <w:sz w:val="24"/>
          <w:szCs w:val="21"/>
          <w:highlight w:val="none"/>
          <w:lang w:eastAsia="zh-CN"/>
        </w:rPr>
        <w:t xml:space="preserve">（微）</w:t>
      </w:r>
      <w:r>
        <w:rPr>
          <w:rFonts w:hint="eastAsia" w:ascii="仿宋" w:hAnsi="仿宋" w:eastAsia="仿宋" w:cs="仿宋"/>
          <w:color w:val="auto"/>
          <w:sz w:val="24"/>
          <w:szCs w:val="21"/>
          <w:highlight w:val="none"/>
        </w:rPr>
        <w:t xml:space="preserve">企业声明函</w:t>
      </w:r>
      <w:r/>
    </w:p>
    <w:p>
      <w:pPr>
        <w:ind w:firstLine="480"/>
        <w:spacing w:line="440" w:lineRule="exact"/>
        <w:rPr>
          <w:rFonts w:hint="eastAsia"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lang w:val="en-US" w:eastAsia="zh-CN"/>
        </w:rPr>
        <w:t xml:space="preserve">六、报价一览表</w:t>
      </w:r>
      <w:r/>
    </w:p>
    <w:p>
      <w:pPr>
        <w:ind w:firstLine="480"/>
        <w:spacing w:line="440" w:lineRule="exact"/>
        <w:rPr>
          <w:rFonts w:hint="eastAsia" w:ascii="仿宋" w:hAnsi="仿宋" w:eastAsia="仿宋" w:cs="仿宋"/>
          <w:color w:val="auto"/>
          <w:sz w:val="24"/>
          <w:szCs w:val="21"/>
          <w:highlight w:val="none"/>
          <w:lang w:eastAsia="zh-CN"/>
        </w:rPr>
      </w:pPr>
      <w:r>
        <w:rPr>
          <w:rFonts w:hint="eastAsia" w:ascii="仿宋" w:hAnsi="仿宋" w:eastAsia="仿宋" w:cs="仿宋"/>
          <w:color w:val="auto"/>
          <w:sz w:val="24"/>
          <w:szCs w:val="21"/>
          <w:highlight w:val="none"/>
          <w:lang w:val="en-US" w:eastAsia="zh-CN"/>
        </w:rPr>
        <w:t xml:space="preserve">七</w:t>
      </w:r>
      <w:r>
        <w:rPr>
          <w:rFonts w:hint="eastAsia" w:ascii="仿宋" w:hAnsi="仿宋" w:eastAsia="仿宋" w:cs="仿宋"/>
          <w:color w:val="auto"/>
          <w:sz w:val="24"/>
          <w:szCs w:val="21"/>
          <w:highlight w:val="none"/>
        </w:rPr>
        <w:t xml:space="preserve">、</w:t>
      </w:r>
      <w:r>
        <w:rPr>
          <w:rFonts w:hint="eastAsia" w:ascii="仿宋" w:hAnsi="仿宋" w:eastAsia="仿宋" w:cs="仿宋"/>
          <w:color w:val="auto"/>
          <w:sz w:val="24"/>
          <w:szCs w:val="21"/>
          <w:highlight w:val="none"/>
          <w:lang w:eastAsia="zh-CN"/>
        </w:rPr>
        <w:t xml:space="preserve">已标价的工程量清单</w:t>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八</w:t>
      </w:r>
      <w:r>
        <w:rPr>
          <w:rFonts w:hint="eastAsia" w:ascii="仿宋" w:hAnsi="仿宋" w:eastAsia="仿宋" w:cs="仿宋"/>
          <w:color w:val="auto"/>
          <w:sz w:val="24"/>
          <w:szCs w:val="21"/>
          <w:highlight w:val="none"/>
        </w:rPr>
        <w:t xml:space="preserve">、项目实施方案</w:t>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九</w:t>
      </w:r>
      <w:r>
        <w:rPr>
          <w:rFonts w:hint="eastAsia" w:ascii="仿宋" w:hAnsi="仿宋" w:eastAsia="仿宋" w:cs="仿宋"/>
          <w:color w:val="auto"/>
          <w:sz w:val="24"/>
          <w:szCs w:val="21"/>
          <w:highlight w:val="none"/>
        </w:rPr>
        <w:t xml:space="preserve">、项目组人员</w:t>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十</w:t>
      </w:r>
      <w:r>
        <w:rPr>
          <w:rFonts w:hint="eastAsia" w:ascii="仿宋" w:hAnsi="仿宋" w:eastAsia="仿宋" w:cs="仿宋"/>
          <w:color w:val="auto"/>
          <w:sz w:val="24"/>
          <w:szCs w:val="21"/>
          <w:highlight w:val="none"/>
        </w:rPr>
        <w:t xml:space="preserve">、企业业绩</w:t>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十一</w:t>
      </w:r>
      <w:r>
        <w:rPr>
          <w:rFonts w:hint="eastAsia" w:ascii="仿宋" w:hAnsi="仿宋" w:eastAsia="仿宋" w:cs="仿宋"/>
          <w:color w:val="auto"/>
          <w:sz w:val="24"/>
          <w:szCs w:val="21"/>
          <w:highlight w:val="none"/>
        </w:rPr>
        <w:t xml:space="preserve">、磋商所需其他材料</w:t>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keepLines/>
        <w:keepNext/>
        <w:spacing w:before="145" w:after="145" w:line="360" w:lineRule="auto"/>
        <w:rPr>
          <w:rFonts w:hint="eastAsia" w:ascii="仿宋" w:hAnsi="仿宋" w:eastAsia="仿宋" w:cs="仿宋"/>
          <w:b/>
          <w:bCs/>
          <w:color w:val="auto"/>
          <w:sz w:val="28"/>
          <w:szCs w:val="28"/>
          <w:highlight w:val="none"/>
        </w:rPr>
        <w:outlineLvl w:val="1"/>
      </w:pPr>
      <w:r/>
      <w:bookmarkStart w:id="427" w:name="_Toc116"/>
      <w:r>
        <w:rPr>
          <w:rFonts w:hint="eastAsia" w:ascii="仿宋" w:hAnsi="仿宋" w:eastAsia="仿宋" w:cs="仿宋"/>
          <w:b/>
          <w:bCs/>
          <w:color w:val="auto"/>
          <w:sz w:val="28"/>
          <w:szCs w:val="28"/>
          <w:highlight w:val="none"/>
        </w:rPr>
        <w:t xml:space="preserve">一、磋商申请及声明</w:t>
      </w:r>
      <w:bookmarkEnd w:id="427"/>
      <w:r/>
      <w:r/>
    </w:p>
    <w:p>
      <w:pPr>
        <w:pStyle w:val="975"/>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响应声明及承诺函</w:t>
      </w:r>
      <w:r/>
    </w:p>
    <w:p>
      <w:pPr>
        <w:pStyle w:val="975"/>
        <w:jc w:val="lef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（采购单位名称）：</w:t>
      </w:r>
      <w:r/>
    </w:p>
    <w:p>
      <w:pPr>
        <w:pStyle w:val="975"/>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根据已收到的项目编号为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项目的竞争性磋商文件，我单位在参加本项目竞争性磋商活动中，特做出如下承诺：</w:t>
      </w:r>
      <w:r/>
    </w:p>
    <w:p>
      <w:pPr>
        <w:pStyle w:val="975"/>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一、我方</w:t>
      </w:r>
      <w:r>
        <w:rPr>
          <w:rFonts w:hint="eastAsia" w:ascii="仿宋" w:hAnsi="仿宋" w:eastAsia="仿宋" w:cs="仿宋"/>
          <w:color w:val="auto"/>
          <w:sz w:val="24"/>
          <w:highlight w:val="none"/>
        </w:rPr>
        <w:t xml:space="preserve">具备《中华人民共和国政府采购法》第二十二条第一款规定的6项条件；</w:t>
      </w:r>
      <w:r/>
    </w:p>
    <w:p>
      <w:pPr>
        <w:pStyle w:val="975"/>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975"/>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三、我方按磋商文件要求提交响应文件，响应磋商文件规定的响应有效期；</w:t>
      </w:r>
      <w:r/>
    </w:p>
    <w:p>
      <w:pPr>
        <w:pStyle w:val="975"/>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四、如果我方的响应文件被接受，我方将按《中华人民共和国民法典（第三编合同）》及其他有关</w:t>
      </w:r>
      <w:r>
        <w:rPr>
          <w:rFonts w:hint="eastAsia" w:ascii="仿宋" w:hAnsi="仿宋" w:eastAsia="仿宋" w:cs="仿宋"/>
          <w:color w:val="auto"/>
          <w:sz w:val="24"/>
          <w:szCs w:val="24"/>
          <w:highlight w:val="none"/>
          <w:lang w:eastAsia="zh-CN"/>
        </w:rPr>
        <w:t xml:space="preserve">法律法规</w:t>
      </w:r>
      <w:r>
        <w:rPr>
          <w:rFonts w:hint="eastAsia" w:ascii="仿宋" w:hAnsi="仿宋" w:eastAsia="仿宋" w:cs="仿宋"/>
          <w:color w:val="auto"/>
          <w:sz w:val="24"/>
          <w:szCs w:val="24"/>
          <w:highlight w:val="none"/>
        </w:rPr>
        <w:t xml:space="preserve">的规定，按期、按质、按量交付采购单位，全面做到履约守信；</w:t>
      </w:r>
      <w:r/>
    </w:p>
    <w:p>
      <w:pPr>
        <w:pStyle w:val="975"/>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五、我方若违背本声明及承诺约定，经查实，自愿接受采购人及相关主管部门相应的规定处理，并依法承担相应的法律责任。</w:t>
      </w:r>
      <w:r/>
    </w:p>
    <w:p>
      <w:pPr>
        <w:pStyle w:val="975"/>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六、我方同意采购人、采购代理机构将本声明及承诺函上网公开。</w:t>
      </w:r>
      <w:r/>
    </w:p>
    <w:p>
      <w:pPr>
        <w:pStyle w:val="975"/>
        <w:ind w:firstLine="480"/>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七、投标即视为已承诺响应磋商文件要求。</w:t>
      </w:r>
      <w:r/>
    </w:p>
    <w:p>
      <w:pPr>
        <w:pStyle w:val="975"/>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75"/>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75"/>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供应商名称：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（加盖CA电子公章）</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keepLines/>
        <w:keepNext/>
        <w:spacing w:before="145" w:after="145" w:line="360" w:lineRule="auto"/>
        <w:rPr>
          <w:rFonts w:hint="eastAsia" w:ascii="仿宋" w:hAnsi="仿宋" w:eastAsia="仿宋" w:cs="仿宋"/>
          <w:b/>
          <w:bCs/>
          <w:color w:val="auto"/>
          <w:sz w:val="28"/>
          <w:szCs w:val="28"/>
          <w:highlight w:val="none"/>
        </w:rPr>
        <w:outlineLvl w:val="1"/>
      </w:pPr>
      <w:r/>
      <w:bookmarkStart w:id="428" w:name="_Toc117"/>
      <w:r>
        <w:rPr>
          <w:rFonts w:hint="eastAsia" w:ascii="仿宋" w:hAnsi="仿宋" w:eastAsia="仿宋" w:cs="仿宋"/>
          <w:b/>
          <w:bCs/>
          <w:color w:val="auto"/>
          <w:sz w:val="28"/>
          <w:szCs w:val="28"/>
          <w:highlight w:val="none"/>
        </w:rPr>
        <w:t xml:space="preserve">二、供应商基本信息</w:t>
      </w:r>
      <w:bookmarkEnd w:id="428"/>
      <w:r/>
      <w:r/>
    </w:p>
    <w:p>
      <w:pPr>
        <w:pStyle w:val="990"/>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供应商基本情况表</w:t>
      </w:r>
      <w:r/>
    </w:p>
    <w:tbl>
      <w:tblPr>
        <w:tblStyle w:val="697"/>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990"/>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供应商名称</w:t>
            </w:r>
            <w:r/>
          </w:p>
        </w:tc>
        <w:tc>
          <w:tcPr>
            <w:gridSpan w:val="3"/>
            <w:tcW w:w="6998" w:type="dxa"/>
            <w:vAlign w:val="center"/>
            <w:textDirection w:val="lrTb"/>
            <w:noWrap w:val="false"/>
          </w:tcPr>
          <w:p>
            <w:pPr>
              <w:pStyle w:val="990"/>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1526" w:type="dxa"/>
            <w:vAlign w:val="center"/>
            <w:textDirection w:val="lrTb"/>
            <w:noWrap w:val="false"/>
          </w:tcPr>
          <w:p>
            <w:pPr>
              <w:pStyle w:val="990"/>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W w:w="3118" w:type="dxa"/>
            <w:vAlign w:val="center"/>
            <w:textDirection w:val="lrTb"/>
            <w:noWrap w:val="false"/>
          </w:tcPr>
          <w:p>
            <w:pPr>
              <w:pStyle w:val="990"/>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990"/>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注册地区</w:t>
            </w:r>
            <w:r/>
          </w:p>
        </w:tc>
        <w:tc>
          <w:tcPr>
            <w:tcW w:w="2604" w:type="dxa"/>
            <w:vAlign w:val="center"/>
            <w:textDirection w:val="lrTb"/>
            <w:noWrap w:val="false"/>
          </w:tcPr>
          <w:p>
            <w:pPr>
              <w:pStyle w:val="990"/>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1526" w:type="dxa"/>
            <w:vAlign w:val="center"/>
            <w:textDirection w:val="lrTb"/>
            <w:noWrap w:val="false"/>
          </w:tcPr>
          <w:p>
            <w:pPr>
              <w:pStyle w:val="990"/>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p>
        </w:tc>
        <w:tc>
          <w:tcPr>
            <w:tcW w:w="3118" w:type="dxa"/>
            <w:vAlign w:val="center"/>
            <w:textDirection w:val="lrTb"/>
            <w:noWrap w:val="false"/>
          </w:tcPr>
          <w:p>
            <w:pPr>
              <w:pStyle w:val="990"/>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990"/>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W w:w="2604" w:type="dxa"/>
            <w:vAlign w:val="center"/>
            <w:textDirection w:val="lrTb"/>
            <w:noWrap w:val="false"/>
          </w:tcPr>
          <w:p>
            <w:pPr>
              <w:pStyle w:val="990"/>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1526" w:type="dxa"/>
            <w:vAlign w:val="center"/>
            <w:textDirection w:val="lrTb"/>
            <w:noWrap w:val="false"/>
          </w:tcPr>
          <w:p>
            <w:pPr>
              <w:pStyle w:val="990"/>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成立时间</w:t>
            </w:r>
            <w:r/>
          </w:p>
        </w:tc>
        <w:tc>
          <w:tcPr>
            <w:tcW w:w="3118" w:type="dxa"/>
            <w:vAlign w:val="center"/>
            <w:textDirection w:val="lrTb"/>
            <w:noWrap w:val="false"/>
          </w:tcPr>
          <w:p>
            <w:pPr>
              <w:pStyle w:val="990"/>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990"/>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单位性质</w:t>
            </w:r>
            <w:r/>
          </w:p>
        </w:tc>
        <w:tc>
          <w:tcPr>
            <w:tcW w:w="2604" w:type="dxa"/>
            <w:vAlign w:val="center"/>
            <w:textDirection w:val="lrTb"/>
            <w:noWrap w:val="false"/>
          </w:tcPr>
          <w:p>
            <w:pPr>
              <w:pStyle w:val="990"/>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1526" w:type="dxa"/>
            <w:vAlign w:val="center"/>
            <w:textDirection w:val="lrTb"/>
            <w:noWrap w:val="false"/>
          </w:tcPr>
          <w:p>
            <w:pPr>
              <w:pStyle w:val="990"/>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注册号或社会信用代码</w:t>
            </w:r>
            <w:r/>
          </w:p>
        </w:tc>
        <w:tc>
          <w:tcPr>
            <w:tcW w:w="3118" w:type="dxa"/>
            <w:vAlign w:val="center"/>
            <w:textDirection w:val="lrTb"/>
            <w:noWrap w:val="false"/>
          </w:tcPr>
          <w:p>
            <w:pPr>
              <w:pStyle w:val="990"/>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990"/>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注册资本（万元）</w:t>
            </w:r>
            <w:r/>
          </w:p>
        </w:tc>
        <w:tc>
          <w:tcPr>
            <w:tcW w:w="2604" w:type="dxa"/>
            <w:vAlign w:val="center"/>
            <w:textDirection w:val="lrTb"/>
            <w:noWrap w:val="false"/>
          </w:tcPr>
          <w:p>
            <w:pPr>
              <w:pStyle w:val="990"/>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1526" w:type="dxa"/>
            <w:vAlign w:val="center"/>
            <w:textDirection w:val="lrTb"/>
            <w:noWrap w:val="false"/>
          </w:tcPr>
          <w:p>
            <w:pPr>
              <w:pStyle w:val="990"/>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供应商类别</w:t>
            </w:r>
            <w:r/>
          </w:p>
        </w:tc>
        <w:tc>
          <w:tcPr>
            <w:gridSpan w:val="3"/>
            <w:tcW w:w="6998" w:type="dxa"/>
            <w:vAlign w:val="center"/>
            <w:textDirection w:val="lrTb"/>
            <w:noWrap w:val="false"/>
          </w:tcPr>
          <w:p>
            <w:pPr>
              <w:pStyle w:val="990"/>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1526" w:type="dxa"/>
            <w:vAlign w:val="center"/>
            <w:textDirection w:val="lrTb"/>
            <w:noWrap w:val="false"/>
          </w:tcPr>
          <w:p>
            <w:pPr>
              <w:pStyle w:val="990"/>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W w:w="3118" w:type="dxa"/>
            <w:vAlign w:val="center"/>
            <w:textDirection w:val="lrTb"/>
            <w:noWrap w:val="false"/>
          </w:tcPr>
          <w:p>
            <w:pPr>
              <w:pStyle w:val="990"/>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990"/>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w:t>
            </w:r>
            <w:r/>
          </w:p>
        </w:tc>
        <w:tc>
          <w:tcPr>
            <w:tcW w:w="2604" w:type="dxa"/>
            <w:vAlign w:val="center"/>
            <w:textDirection w:val="lrTb"/>
            <w:noWrap w:val="false"/>
          </w:tcPr>
          <w:p>
            <w:pPr>
              <w:pStyle w:val="990"/>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1526" w:type="dxa"/>
            <w:vAlign w:val="center"/>
            <w:textDirection w:val="lrTb"/>
            <w:noWrap w:val="false"/>
          </w:tcPr>
          <w:p>
            <w:pPr>
              <w:pStyle w:val="990"/>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tcW w:w="3118" w:type="dxa"/>
            <w:vAlign w:val="center"/>
            <w:textDirection w:val="lrTb"/>
            <w:noWrap w:val="false"/>
          </w:tcPr>
          <w:p>
            <w:pPr>
              <w:pStyle w:val="990"/>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990"/>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W w:w="2604" w:type="dxa"/>
            <w:vAlign w:val="center"/>
            <w:textDirection w:val="lrTb"/>
            <w:noWrap w:val="false"/>
          </w:tcPr>
          <w:p>
            <w:pPr>
              <w:pStyle w:val="990"/>
              <w:jc w:val="center"/>
              <w:spacing w:line="6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2376"/>
        </w:trPr>
        <w:tc>
          <w:tcPr>
            <w:tcW w:w="1526" w:type="dxa"/>
            <w:vAlign w:val="center"/>
            <w:textDirection w:val="lrTb"/>
            <w:noWrap w:val="false"/>
          </w:tcPr>
          <w:p>
            <w:pPr>
              <w:pStyle w:val="99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经营范围</w:t>
            </w:r>
            <w:r/>
          </w:p>
        </w:tc>
        <w:tc>
          <w:tcPr>
            <w:gridSpan w:val="3"/>
            <w:tcW w:w="6998" w:type="dxa"/>
            <w:vAlign w:val="top"/>
            <w:textDirection w:val="lrTb"/>
            <w:noWrap w:val="false"/>
          </w:tcPr>
          <w:p>
            <w:pPr>
              <w:pStyle w:val="990"/>
              <w:ind w:firstLine="1433"/>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134"/>
        </w:trPr>
        <w:tc>
          <w:tcPr>
            <w:tcW w:w="1526" w:type="dxa"/>
            <w:vAlign w:val="center"/>
            <w:textDirection w:val="lrTb"/>
            <w:noWrap w:val="false"/>
          </w:tcPr>
          <w:p>
            <w:pPr>
              <w:pStyle w:val="990"/>
              <w:jc w:val="cente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c>
          <w:tcPr>
            <w:gridSpan w:val="3"/>
            <w:tcW w:w="6998" w:type="dxa"/>
            <w:vAlign w:val="center"/>
            <w:textDirection w:val="lrTb"/>
            <w:noWrap w:val="false"/>
          </w:tcPr>
          <w:p>
            <w:pPr>
              <w:pStyle w:val="990"/>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keepLines/>
        <w:keepNext/>
        <w:spacing w:before="145" w:after="145" w:line="360" w:lineRule="auto"/>
        <w:rPr>
          <w:rFonts w:hint="eastAsia" w:ascii="仿宋" w:hAnsi="仿宋" w:eastAsia="仿宋" w:cs="仿宋"/>
          <w:i/>
          <w:color w:val="auto"/>
          <w:sz w:val="32"/>
          <w:szCs w:val="32"/>
          <w:highlight w:val="none"/>
          <w:u w:val="single"/>
        </w:rPr>
        <w:outlineLvl w:val="1"/>
      </w:pPr>
      <w:r/>
      <w:bookmarkStart w:id="429" w:name="_Toc118"/>
      <w:r>
        <w:rPr>
          <w:rFonts w:hint="eastAsia" w:ascii="仿宋" w:hAnsi="仿宋" w:eastAsia="仿宋" w:cs="仿宋"/>
          <w:iCs/>
          <w:color w:val="auto"/>
          <w:sz w:val="32"/>
          <w:szCs w:val="32"/>
          <w:highlight w:val="none"/>
        </w:rPr>
        <w:br w:type="page" w:clear="all"/>
      </w:r>
      <w:r>
        <w:rPr>
          <w:rFonts w:hint="eastAsia" w:ascii="仿宋" w:hAnsi="仿宋" w:eastAsia="仿宋" w:cs="仿宋"/>
          <w:b/>
          <w:bCs/>
          <w:color w:val="auto"/>
          <w:sz w:val="28"/>
          <w:szCs w:val="28"/>
          <w:highlight w:val="none"/>
        </w:rPr>
        <w:t xml:space="preserve">三、特定资格要求的证明文件</w:t>
      </w:r>
      <w:bookmarkEnd w:id="429"/>
      <w:r/>
      <w:r/>
    </w:p>
    <w:p>
      <w:pPr>
        <w:ind w:firstLine="480"/>
        <w:keepLines w:val="0"/>
        <w:keepNext w:val="0"/>
        <w:pageBreakBefore w:val="0"/>
        <w:spacing w:line="460" w:lineRule="exact"/>
        <w:widowControl w:val="off"/>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如果本项目申请人的特定资格要求中要求提供的，必须提供。</w:t>
      </w:r>
      <w:r/>
    </w:p>
    <w:p>
      <w:pPr>
        <w:ind w:firstLine="480"/>
        <w:keepLines w:val="0"/>
        <w:keepNext w:val="0"/>
        <w:pageBreakBefore w:val="0"/>
        <w:spacing w:line="46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附营业执照、资质证书、安全生产许可证等资料。</w:t>
      </w:r>
      <w:r/>
    </w:p>
    <w:p>
      <w:pPr>
        <w:keepLines/>
        <w:keepNext/>
        <w:spacing w:before="145" w:after="145" w:line="360" w:lineRule="auto"/>
        <w:rPr>
          <w:rFonts w:hint="eastAsia" w:ascii="仿宋" w:hAnsi="仿宋" w:eastAsia="仿宋" w:cs="仿宋"/>
          <w:iCs/>
          <w:color w:val="auto"/>
          <w:sz w:val="28"/>
          <w:szCs w:val="28"/>
          <w:highlight w:val="none"/>
        </w:rPr>
        <w:outlineLvl w:val="1"/>
      </w:pPr>
      <w:r/>
      <w:bookmarkStart w:id="430" w:name="_Toc119"/>
      <w:r>
        <w:rPr>
          <w:rFonts w:hint="eastAsia" w:ascii="仿宋" w:hAnsi="仿宋" w:eastAsia="仿宋" w:cs="仿宋"/>
          <w:iCs/>
          <w:color w:val="auto"/>
          <w:sz w:val="32"/>
          <w:szCs w:val="32"/>
          <w:highlight w:val="none"/>
        </w:rPr>
        <w:br w:type="page" w:clear="all"/>
      </w:r>
      <w:r>
        <w:rPr>
          <w:rFonts w:hint="eastAsia" w:ascii="仿宋" w:hAnsi="仿宋" w:eastAsia="仿宋" w:cs="仿宋"/>
          <w:b/>
          <w:bCs/>
          <w:color w:val="auto"/>
          <w:sz w:val="28"/>
          <w:szCs w:val="28"/>
          <w:highlight w:val="none"/>
        </w:rPr>
        <w:t xml:space="preserve">四、法人授权书</w:t>
      </w:r>
      <w:bookmarkEnd w:id="430"/>
      <w:r/>
      <w:r/>
    </w:p>
    <w:p>
      <w:pPr>
        <w:ind w:firstLine="480"/>
        <w:keepLines w:val="0"/>
        <w:keepNext w:val="0"/>
        <w:pageBreakBefore w:val="0"/>
        <w:spacing w:line="500" w:lineRule="exact"/>
        <w:widowControl w:val="off"/>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本授权书声明：</w:t>
      </w:r>
      <w:r>
        <w:rPr>
          <w:rFonts w:hint="eastAsia" w:ascii="仿宋" w:hAnsi="仿宋" w:eastAsia="仿宋" w:cs="仿宋"/>
          <w:color w:val="auto"/>
          <w:sz w:val="24"/>
          <w:szCs w:val="24"/>
          <w:highlight w:val="none"/>
          <w:u w:val="none"/>
        </w:rPr>
        <w:t xml:space="preserve">____________</w:t>
      </w:r>
      <w:r>
        <w:rPr>
          <w:rFonts w:hint="eastAsia" w:ascii="仿宋" w:hAnsi="仿宋" w:eastAsia="仿宋" w:cs="仿宋"/>
          <w:color w:val="auto"/>
          <w:sz w:val="24"/>
          <w:szCs w:val="24"/>
          <w:highlight w:val="none"/>
        </w:rPr>
        <w:t xml:space="preserve">（供应商名称）授权________________（被授权人的姓名）为我方就</w:t>
      </w:r>
      <w:r>
        <w:rPr>
          <w:rFonts w:hint="eastAsia" w:ascii="仿宋" w:hAnsi="仿宋" w:eastAsia="仿宋" w:cs="仿宋"/>
          <w:color w:val="auto"/>
          <w:sz w:val="24"/>
          <w:szCs w:val="24"/>
          <w:highlight w:val="none"/>
          <w:lang w:val="en-US" w:eastAsia="zh-CN"/>
        </w:rPr>
        <w:t xml:space="preserve">项目编号为</w:t>
      </w:r>
      <w:r>
        <w:rPr>
          <w:rFonts w:hint="eastAsia" w:ascii="仿宋" w:hAnsi="仿宋" w:eastAsia="仿宋" w:cs="仿宋"/>
          <w:color w:val="auto"/>
          <w:sz w:val="24"/>
          <w:szCs w:val="24"/>
          <w:highlight w:val="none"/>
          <w:u w:val="single"/>
          <w:lang w:val="en-US" w:eastAsia="zh-CN"/>
        </w:rPr>
        <w:t xml:space="preserve">JSZC-321300-SCYH-C2026-0011的</w:t>
      </w:r>
      <w:r>
        <w:rPr>
          <w:rFonts w:hint="eastAsia" w:ascii="仿宋" w:hAnsi="仿宋" w:eastAsia="仿宋" w:cs="仿宋"/>
          <w:color w:val="auto"/>
          <w:sz w:val="24"/>
          <w:szCs w:val="24"/>
          <w:highlight w:val="none"/>
          <w:u w:val="single"/>
          <w:lang w:eastAsia="zh-CN"/>
        </w:rPr>
        <w:t xml:space="preserve">宿迁幼儿师范高等专科学校泽园一、二、三宿舍公寓化维修改造工程</w:t>
      </w:r>
      <w:r>
        <w:rPr>
          <w:rFonts w:hint="eastAsia" w:ascii="仿宋" w:hAnsi="仿宋" w:eastAsia="仿宋" w:cs="仿宋"/>
          <w:color w:val="auto"/>
          <w:sz w:val="24"/>
          <w:szCs w:val="24"/>
          <w:highlight w:val="none"/>
        </w:rPr>
        <w:t xml:space="preserve">采购活动的合法代理人，以本单位名义全权处理一切与该项目采购有关的事务。</w:t>
      </w:r>
      <w:r/>
    </w:p>
    <w:p>
      <w:pPr>
        <w:ind w:firstLine="480"/>
        <w:keepLines w:val="0"/>
        <w:keepNext w:val="0"/>
        <w:pageBreakBefore w:val="0"/>
        <w:spacing w:line="500" w:lineRule="exact"/>
        <w:widowControl w:val="off"/>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本授权书于______年____月____日起生效，特此声明。</w:t>
      </w:r>
      <w:r/>
    </w:p>
    <w:p>
      <w:pPr>
        <w:keepLines w:val="0"/>
        <w:keepNext w:val="0"/>
        <w:pageBreakBefore w:val="0"/>
        <w:spacing w:line="500" w:lineRule="exact"/>
        <w:widowControl w:val="off"/>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被授权人身份证号码：</w:t>
      </w:r>
      <w:r>
        <w:rPr>
          <w:rFonts w:hint="eastAsia" w:ascii="仿宋" w:hAnsi="仿宋" w:eastAsia="仿宋" w:cs="仿宋"/>
          <w:color w:val="auto"/>
          <w:sz w:val="24"/>
          <w:szCs w:val="24"/>
          <w:highlight w:val="none"/>
          <w:u w:val="single"/>
        </w:rPr>
        <w:t xml:space="preserve">                            </w:t>
      </w:r>
      <w:r/>
    </w:p>
    <w:p>
      <w:pPr>
        <w:keepLines w:val="0"/>
        <w:keepNext w:val="0"/>
        <w:pageBreakBefore w:val="0"/>
        <w:spacing w:line="500" w:lineRule="exact"/>
        <w:widowControl w:val="off"/>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被授权人联系电话：（手机）</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line="500" w:lineRule="exact"/>
        <w:widowControl w:val="off"/>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授权单位名称：</w:t>
      </w:r>
      <w:r>
        <w:rPr>
          <w:rFonts w:hint="eastAsia" w:ascii="仿宋" w:hAnsi="仿宋" w:eastAsia="仿宋" w:cs="仿宋"/>
          <w:color w:val="auto"/>
          <w:sz w:val="24"/>
          <w:szCs w:val="24"/>
          <w:highlight w:val="none"/>
          <w:u w:val="single"/>
        </w:rPr>
        <w:t xml:space="preserve">（加盖CA电子公章）</w:t>
      </w:r>
      <w:r/>
    </w:p>
    <w:p>
      <w:pPr>
        <w:ind w:firstLine="480"/>
        <w:keepLines w:val="0"/>
        <w:keepNext w:val="0"/>
        <w:pageBreakBefore w:val="0"/>
        <w:spacing w:line="500" w:lineRule="exact"/>
        <w:widowControl w:val="off"/>
        <w:tabs>
          <w:tab w:val="left" w:pos="360" w:leader="none"/>
        </w:tabs>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 xml:space="preserve">法定代表人：</w:t>
      </w:r>
      <w:r>
        <w:rPr>
          <w:rFonts w:hint="eastAsia" w:ascii="仿宋" w:hAnsi="仿宋" w:eastAsia="仿宋" w:cs="仿宋"/>
          <w:color w:val="auto"/>
          <w:sz w:val="24"/>
          <w:szCs w:val="24"/>
          <w:highlight w:val="none"/>
          <w:u w:val="single"/>
          <w:lang w:val="en-US" w:eastAsia="zh-CN"/>
        </w:rPr>
        <w:t xml:space="preserve">（签字或签章）                     </w:t>
      </w:r>
      <w:r/>
    </w:p>
    <w:p>
      <w:pPr>
        <w:ind w:firstLine="480"/>
        <w:keepLines w:val="0"/>
        <w:keepNext w:val="0"/>
        <w:pageBreakBefore w:val="0"/>
        <w:spacing w:line="500" w:lineRule="exact"/>
        <w:widowControl w:val="off"/>
        <w:tabs>
          <w:tab w:val="left" w:pos="360" w:leader="none"/>
        </w:tabs>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none"/>
          <w:lang w:val="en-US" w:eastAsia="zh-CN"/>
        </w:rPr>
        <w:t xml:space="preserve">授权委托人</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u w:val="single"/>
          <w:lang w:val="en-US" w:eastAsia="zh-CN"/>
        </w:rPr>
        <w:t xml:space="preserve">（签字或签章）                     </w:t>
      </w:r>
      <w:r/>
    </w:p>
    <w:p>
      <w:pPr>
        <w:ind w:firstLine="480"/>
        <w:keepLines w:val="0"/>
        <w:keepNext w:val="0"/>
        <w:pageBreakBefore w:val="0"/>
        <w:spacing w:line="500" w:lineRule="exact"/>
        <w:widowControl w:val="off"/>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单位地址：</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line="500" w:lineRule="exact"/>
        <w:widowControl w:val="off"/>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日期：</w:t>
      </w:r>
      <w:bookmarkStart w:id="309" w:name="_Hlt26955070"/>
      <w:r/>
      <w:bookmarkEnd w:id="309"/>
      <w:r/>
      <w:bookmarkStart w:id="310" w:name="_Hlt26671380"/>
      <w:r/>
      <w:bookmarkEnd w:id="310"/>
      <w:r/>
      <w:bookmarkStart w:id="311" w:name="_格式3__银行出具的资信证明"/>
      <w:r/>
      <w:bookmarkEnd w:id="311"/>
      <w:r>
        <w:rPr>
          <w:rFonts w:hint="eastAsia" w:ascii="仿宋" w:hAnsi="仿宋" w:eastAsia="仿宋" w:cs="仿宋"/>
          <w:color w:val="auto"/>
          <w:sz w:val="24"/>
          <w:szCs w:val="24"/>
          <w:highlight w:val="none"/>
          <w:u w:val="single"/>
        </w:rPr>
        <w:t xml:space="preserve">                                         </w:t>
      </w:r>
      <w:r/>
    </w:p>
    <w:p>
      <w:pPr>
        <w:keepLines/>
        <w:keepNext/>
        <w:spacing w:before="145" w:after="145" w:line="360" w:lineRule="auto"/>
        <w:rPr>
          <w:rFonts w:hint="eastAsia" w:ascii="仿宋" w:hAnsi="仿宋" w:eastAsia="仿宋" w:cs="仿宋"/>
          <w:b/>
          <w:bCs/>
          <w:color w:val="auto"/>
          <w:sz w:val="28"/>
          <w:szCs w:val="28"/>
          <w:highlight w:val="none"/>
        </w:rPr>
        <w:outlineLvl w:val="1"/>
      </w:pPr>
      <w:r/>
      <w:bookmarkStart w:id="431" w:name="_Toc120"/>
      <w:r>
        <w:rPr>
          <w:rFonts w:hint="eastAsia" w:ascii="仿宋" w:hAnsi="仿宋" w:eastAsia="仿宋" w:cs="仿宋"/>
          <w:b/>
          <w:color w:val="auto"/>
          <w:sz w:val="24"/>
          <w:szCs w:val="44"/>
          <w:highlight w:val="none"/>
        </w:rPr>
        <w:br w:type="page" w:clear="all"/>
      </w:r>
      <w:r>
        <w:rPr>
          <w:rFonts w:hint="eastAsia" w:ascii="仿宋" w:hAnsi="仿宋" w:eastAsia="仿宋" w:cs="仿宋"/>
          <w:b/>
          <w:bCs/>
          <w:color w:val="auto"/>
          <w:sz w:val="28"/>
          <w:szCs w:val="28"/>
          <w:highlight w:val="none"/>
        </w:rPr>
        <w:t xml:space="preserve">五、中小（微）企业声明函</w:t>
      </w:r>
      <w:bookmarkEnd w:id="431"/>
      <w:r/>
      <w:r/>
    </w:p>
    <w:p>
      <w:pPr>
        <w:jc w:val="center"/>
        <w:spacing w:line="360" w:lineRule="auto"/>
      </w:pPr>
      <w:r>
        <w:rPr>
          <w:rFonts w:hint="eastAsia" w:ascii="华文仿宋" w:hAnsi="华文仿宋" w:eastAsia="华文仿宋" w:cs="华文仿宋"/>
          <w:b/>
          <w:sz w:val="24"/>
          <w:szCs w:val="24"/>
        </w:rPr>
        <w:t xml:space="preserve">中小微企业声明函（</w:t>
      </w:r>
      <w:r>
        <w:rPr>
          <w:rFonts w:hint="eastAsia" w:ascii="华文仿宋" w:hAnsi="华文仿宋" w:eastAsia="华文仿宋" w:cs="华文仿宋"/>
          <w:b/>
          <w:sz w:val="24"/>
          <w:szCs w:val="24"/>
          <w:lang w:val="en-US" w:eastAsia="zh-CN"/>
        </w:rPr>
        <w:t xml:space="preserve">工程</w:t>
      </w:r>
      <w:r>
        <w:rPr>
          <w:rFonts w:hint="eastAsia" w:ascii="华文仿宋" w:hAnsi="华文仿宋" w:eastAsia="华文仿宋" w:cs="华文仿宋"/>
          <w:b/>
          <w:sz w:val="24"/>
          <w:szCs w:val="24"/>
        </w:rPr>
        <w:t xml:space="preserve">类项目）</w:t>
      </w:r>
      <w:r>
        <w:rPr>
          <w:rFonts w:hint="eastAsia" w:ascii="宋体" w:hAnsi="宋体"/>
          <w:b/>
          <w:sz w:val="24"/>
          <w:szCs w:val="24"/>
        </w:rPr>
      </w:r>
      <w:r/>
    </w:p>
    <w:p>
      <w:pPr>
        <w:ind w:firstLine="360"/>
        <w:spacing w:line="360" w:lineRule="auto"/>
        <w:rPr>
          <w:rFonts w:ascii="STFangsong" w:hAnsi="STFangsong" w:cs="STFangsong"/>
          <w:sz w:val="22"/>
          <w:szCs w:val="22"/>
        </w:rPr>
      </w:pPr>
      <w:r>
        <w:rPr>
          <w:rFonts w:hint="eastAsia" w:ascii="STFangsong" w:hAnsi="STFangsong" w:eastAsia="STFangsong" w:cs="STFangsong"/>
          <w:sz w:val="22"/>
          <w:szCs w:val="22"/>
        </w:rPr>
        <w:t xml:space="preserve">本公司（联合体）郑重声明，根据《政府采购促进中小企业发展管理办法》(财库〔2020〕46号)的规定，本公司（联合体）参加</w:t>
      </w:r>
      <w:r>
        <w:rPr>
          <w:rFonts w:hint="eastAsia" w:ascii="STFangsong" w:hAnsi="STFangsong" w:eastAsia="STFangsong" w:cs="STFangsong"/>
          <w:sz w:val="22"/>
          <w:szCs w:val="22"/>
          <w:u w:val="single"/>
        </w:rPr>
        <w:t xml:space="preserve">（单位名称）</w:t>
      </w:r>
      <w:r>
        <w:rPr>
          <w:rFonts w:hint="eastAsia" w:ascii="STFangsong" w:hAnsi="STFangsong" w:eastAsia="STFangsong" w:cs="STFangsong"/>
          <w:sz w:val="22"/>
          <w:szCs w:val="22"/>
        </w:rPr>
        <w:t xml:space="preserve">采购编号为</w:t>
      </w:r>
      <w:r>
        <w:rPr>
          <w:rFonts w:hint="eastAsia" w:ascii="STFangsong" w:hAnsi="STFangsong" w:eastAsia="STFangsong" w:cs="STFangsong"/>
          <w:sz w:val="22"/>
          <w:szCs w:val="22"/>
          <w:u w:val="single"/>
        </w:rPr>
        <w:t xml:space="preserve">（</w:t>
      </w:r>
      <w:r>
        <w:rPr>
          <w:rFonts w:hint="eastAsia" w:ascii="STFangsong" w:hAnsi="STFangsong" w:eastAsia="STFangsong" w:cs="STFangsong"/>
          <w:sz w:val="22"/>
          <w:szCs w:val="22"/>
          <w:u w:val="single"/>
          <w:lang w:val="en-US" w:eastAsia="zh-CN"/>
        </w:rPr>
        <w:t xml:space="preserve">采购编号</w:t>
      </w:r>
      <w:r>
        <w:rPr>
          <w:rFonts w:hint="eastAsia" w:ascii="STFangsong" w:hAnsi="STFangsong" w:eastAsia="STFangsong" w:cs="STFangsong"/>
          <w:sz w:val="22"/>
          <w:szCs w:val="22"/>
          <w:u w:val="single"/>
        </w:rPr>
        <w:t xml:space="preserve">）</w:t>
      </w:r>
      <w:r>
        <w:rPr>
          <w:rFonts w:hint="eastAsia" w:ascii="STFangsong" w:hAnsi="STFangsong" w:eastAsia="STFangsong" w:cs="STFangsong"/>
          <w:sz w:val="22"/>
          <w:szCs w:val="22"/>
        </w:rPr>
        <w:t xml:space="preserve">，</w:t>
      </w:r>
      <w:r>
        <w:rPr>
          <w:rFonts w:hint="eastAsia" w:ascii="STFangsong" w:hAnsi="STFangsong" w:cs="STFangsong"/>
          <w:sz w:val="22"/>
          <w:szCs w:val="22"/>
          <w:u w:val="single"/>
          <w:lang w:val="en-US" w:eastAsia="zh-CN"/>
        </w:rPr>
        <w:t xml:space="preserve">      </w:t>
      </w:r>
      <w:r>
        <w:rPr>
          <w:rFonts w:hint="eastAsia" w:ascii="STFangsong" w:hAnsi="STFangsong" w:eastAsia="STFangsong" w:cs="STFangsong"/>
          <w:sz w:val="22"/>
          <w:szCs w:val="22"/>
          <w:u w:val="none"/>
          <w:lang w:val="en-US" w:eastAsia="zh-CN"/>
        </w:rPr>
        <w:t xml:space="preserve">项目</w:t>
      </w:r>
      <w:r>
        <w:rPr>
          <w:rFonts w:hint="eastAsia" w:ascii="STFangsong" w:hAnsi="STFangsong" w:eastAsia="STFangsong" w:cs="STFangsong"/>
          <w:sz w:val="22"/>
          <w:szCs w:val="22"/>
          <w:u w:val="none"/>
        </w:rPr>
        <w:t xml:space="preserve">（项目名称）</w:t>
      </w:r>
      <w:r>
        <w:rPr>
          <w:rFonts w:hint="eastAsia" w:ascii="STFangsong" w:hAnsi="STFangsong" w:eastAsia="STFangsong" w:cs="STFangsong"/>
          <w:sz w:val="22"/>
          <w:szCs w:val="22"/>
        </w:rPr>
        <w:t xml:space="preserve">的采购活动，工程的施工单位全部由符合政策的中小微企业承接。相关企业（含联合体中的中小微企业、签订采购包意向协议的中小微企业）的具体情况如下：</w:t>
      </w:r>
      <w:r>
        <w:rPr>
          <w:rFonts w:ascii="STFangsong" w:hAnsi="STFangsong" w:cs="STFangsong"/>
          <w:sz w:val="20"/>
          <w:szCs w:val="20"/>
        </w:rPr>
      </w:r>
      <w:r/>
    </w:p>
    <w:p>
      <w:pPr>
        <w:ind w:firstLine="360"/>
        <w:spacing w:line="360" w:lineRule="auto"/>
        <w:rPr>
          <w:rFonts w:ascii="STFangsong" w:hAnsi="STFangsong" w:cs="STFangsong"/>
          <w:sz w:val="22"/>
          <w:szCs w:val="22"/>
        </w:rPr>
      </w:pPr>
      <w:r>
        <w:rPr>
          <w:rFonts w:hint="eastAsia" w:ascii="STFangsong" w:hAnsi="STFangsong" w:cs="STFangsong"/>
          <w:sz w:val="22"/>
          <w:szCs w:val="22"/>
        </w:rPr>
        <w:t xml:space="preserve">1.</w:t>
      </w:r>
      <w:r>
        <w:rPr>
          <w:rFonts w:hint="eastAsia" w:ascii="STFangsong" w:hAnsi="STFangsong" w:eastAsia="STFangsong" w:cs="STFangsong"/>
          <w:sz w:val="22"/>
          <w:szCs w:val="22"/>
          <w:u w:val="single"/>
        </w:rPr>
        <w:t xml:space="preserve">（标的名称）</w:t>
      </w:r>
      <w:r>
        <w:rPr>
          <w:rFonts w:hint="eastAsia" w:ascii="STFangsong" w:hAnsi="STFangsong" w:eastAsia="STFangsong" w:cs="STFangsong"/>
          <w:i/>
          <w:sz w:val="22"/>
          <w:szCs w:val="22"/>
        </w:rPr>
        <w:t xml:space="preserve">，</w:t>
      </w:r>
      <w:r>
        <w:rPr>
          <w:rFonts w:hint="eastAsia" w:ascii="STFangsong" w:hAnsi="STFangsong" w:eastAsia="STFangsong" w:cs="STFangsong"/>
          <w:sz w:val="22"/>
          <w:szCs w:val="22"/>
        </w:rPr>
        <w:t xml:space="preserve">属于</w:t>
      </w:r>
      <w:r>
        <w:rPr>
          <w:rFonts w:hint="eastAsia" w:ascii="STFangsong" w:hAnsi="STFangsong" w:eastAsia="STFangsong" w:cs="STFangsong"/>
          <w:sz w:val="22"/>
          <w:szCs w:val="22"/>
          <w:u w:val="single"/>
        </w:rPr>
        <w:t xml:space="preserve">（供应商填写招标文件中明确的所属行业）</w:t>
      </w:r>
      <w:r>
        <w:rPr>
          <w:rFonts w:hint="eastAsia" w:ascii="STFangsong" w:hAnsi="STFangsong" w:eastAsia="STFangsong" w:cs="STFangsong"/>
          <w:sz w:val="22"/>
          <w:szCs w:val="22"/>
        </w:rPr>
        <w:t xml:space="preserve">行业；承接企业为</w:t>
      </w:r>
      <w:r>
        <w:rPr>
          <w:rFonts w:hint="eastAsia" w:ascii="STFangsong" w:hAnsi="STFangsong" w:eastAsia="STFangsong" w:cs="STFangsong"/>
          <w:sz w:val="22"/>
          <w:szCs w:val="22"/>
          <w:u w:val="single"/>
        </w:rPr>
        <w:t xml:space="preserve">（企业名称）</w:t>
      </w:r>
      <w:r>
        <w:rPr>
          <w:rFonts w:hint="eastAsia" w:ascii="STFangsong" w:hAnsi="STFangsong" w:eastAsia="STFangsong" w:cs="STFangsong"/>
          <w:sz w:val="22"/>
          <w:szCs w:val="22"/>
        </w:rPr>
        <w:t xml:space="preserve">，从业人员</w:t>
      </w:r>
      <w:r>
        <w:rPr>
          <w:rFonts w:hint="eastAsia" w:ascii="STFangsong" w:hAnsi="STFangsong" w:cs="STFangsong"/>
          <w:sz w:val="22"/>
          <w:szCs w:val="22"/>
          <w:u w:val="single"/>
        </w:rPr>
        <w:t xml:space="preserve">      </w:t>
      </w:r>
      <w:r>
        <w:rPr>
          <w:rFonts w:hint="eastAsia" w:ascii="STFangsong" w:hAnsi="STFangsong" w:eastAsia="STFangsong" w:cs="STFangsong"/>
          <w:sz w:val="22"/>
          <w:szCs w:val="22"/>
        </w:rPr>
        <w:t xml:space="preserve">人，营业收入为</w:t>
      </w:r>
      <w:r>
        <w:rPr>
          <w:rFonts w:hint="eastAsia" w:ascii="STFangsong" w:hAnsi="STFangsong" w:cs="STFangsong"/>
          <w:sz w:val="22"/>
          <w:szCs w:val="22"/>
          <w:u w:val="single"/>
        </w:rPr>
        <w:t xml:space="preserve">     </w:t>
      </w:r>
      <w:r>
        <w:rPr>
          <w:rFonts w:hint="eastAsia" w:ascii="STFangsong" w:hAnsi="STFangsong" w:eastAsia="STFangsong" w:cs="STFangsong"/>
          <w:sz w:val="22"/>
          <w:szCs w:val="22"/>
        </w:rPr>
        <w:t xml:space="preserve">万元，资产总额为</w:t>
      </w:r>
      <w:r>
        <w:rPr>
          <w:rFonts w:hint="eastAsia" w:ascii="STFangsong" w:hAnsi="STFangsong" w:cs="STFangsong"/>
          <w:sz w:val="22"/>
          <w:szCs w:val="22"/>
          <w:u w:val="single"/>
        </w:rPr>
        <w:t xml:space="preserve">      </w:t>
      </w:r>
      <w:r>
        <w:rPr>
          <w:rFonts w:hint="eastAsia" w:ascii="STFangsong" w:hAnsi="STFangsong" w:eastAsia="STFangsong" w:cs="STFangsong"/>
          <w:sz w:val="22"/>
          <w:szCs w:val="22"/>
        </w:rPr>
        <w:t xml:space="preserve">万元</w:t>
      </w:r>
      <w:r>
        <w:rPr>
          <w:rFonts w:hint="eastAsia" w:ascii="STFangsong" w:hAnsi="STFangsong" w:cs="STFangsong"/>
          <w:sz w:val="22"/>
          <w:szCs w:val="22"/>
          <w:vertAlign w:val="superscript"/>
        </w:rPr>
        <w:t xml:space="preserve">1</w:t>
      </w:r>
      <w:r>
        <w:rPr>
          <w:rFonts w:hint="eastAsia" w:ascii="STFangsong" w:hAnsi="STFangsong" w:eastAsia="STFangsong" w:cs="STFangsong"/>
          <w:sz w:val="22"/>
          <w:szCs w:val="22"/>
        </w:rPr>
        <w:t xml:space="preserve">，属于</w:t>
      </w:r>
      <w:r>
        <w:rPr>
          <w:rFonts w:hint="eastAsia" w:ascii="STFangsong" w:hAnsi="STFangsong" w:eastAsia="STFangsong" w:cs="STFangsong"/>
          <w:sz w:val="22"/>
          <w:szCs w:val="22"/>
          <w:u w:val="single"/>
        </w:rPr>
        <w:t xml:space="preserve">（□中型企业 □小型企业 □微型企业）；</w:t>
      </w:r>
      <w:r>
        <w:rPr>
          <w:rFonts w:ascii="STFangsong" w:hAnsi="STFangsong" w:cs="STFangsong"/>
          <w:sz w:val="20"/>
          <w:szCs w:val="20"/>
        </w:rPr>
      </w:r>
      <w:r/>
    </w:p>
    <w:p>
      <w:pPr>
        <w:ind w:firstLine="360"/>
        <w:spacing w:line="360" w:lineRule="auto"/>
        <w:rPr>
          <w:rFonts w:ascii="STFangsong" w:hAnsi="STFangsong" w:cs="STFangsong"/>
          <w:sz w:val="22"/>
          <w:szCs w:val="22"/>
        </w:rPr>
      </w:pPr>
      <w:r>
        <w:rPr>
          <w:rFonts w:hint="eastAsia" w:ascii="STFangsong" w:hAnsi="STFangsong" w:cs="STFangsong"/>
          <w:sz w:val="22"/>
          <w:szCs w:val="22"/>
        </w:rPr>
        <w:t xml:space="preserve">2.</w:t>
      </w:r>
      <w:r>
        <w:rPr>
          <w:rFonts w:hint="eastAsia" w:ascii="STFangsong" w:hAnsi="STFangsong" w:eastAsia="STFangsong" w:cs="STFangsong"/>
          <w:sz w:val="22"/>
          <w:szCs w:val="22"/>
          <w:u w:val="single"/>
        </w:rPr>
        <w:t xml:space="preserve">（标的名称）</w:t>
      </w:r>
      <w:r>
        <w:rPr>
          <w:rFonts w:hint="eastAsia" w:ascii="STFangsong" w:hAnsi="STFangsong" w:eastAsia="STFangsong" w:cs="STFangsong"/>
          <w:i/>
          <w:sz w:val="22"/>
          <w:szCs w:val="22"/>
        </w:rPr>
        <w:t xml:space="preserve">，</w:t>
      </w:r>
      <w:r>
        <w:rPr>
          <w:rFonts w:hint="eastAsia" w:ascii="STFangsong" w:hAnsi="STFangsong" w:eastAsia="STFangsong" w:cs="STFangsong"/>
          <w:sz w:val="22"/>
          <w:szCs w:val="22"/>
        </w:rPr>
        <w:t xml:space="preserve">属于</w:t>
      </w:r>
      <w:r>
        <w:rPr>
          <w:rFonts w:hint="eastAsia" w:ascii="STFangsong" w:hAnsi="STFangsong" w:eastAsia="STFangsong" w:cs="STFangsong"/>
          <w:sz w:val="22"/>
          <w:szCs w:val="22"/>
          <w:u w:val="single"/>
        </w:rPr>
        <w:t xml:space="preserve">（供应商填写招标文件中明确的所属行业）</w:t>
      </w:r>
      <w:r>
        <w:rPr>
          <w:rFonts w:hint="eastAsia" w:ascii="STFangsong" w:hAnsi="STFangsong" w:eastAsia="STFangsong" w:cs="STFangsong"/>
          <w:sz w:val="22"/>
          <w:szCs w:val="22"/>
        </w:rPr>
        <w:t xml:space="preserve">行业；承接企业为</w:t>
      </w:r>
      <w:r>
        <w:rPr>
          <w:rFonts w:hint="eastAsia" w:ascii="STFangsong" w:hAnsi="STFangsong" w:eastAsia="STFangsong" w:cs="STFangsong"/>
          <w:sz w:val="22"/>
          <w:szCs w:val="22"/>
          <w:u w:val="single"/>
        </w:rPr>
        <w:t xml:space="preserve">（企业名称）</w:t>
      </w:r>
      <w:r>
        <w:rPr>
          <w:rFonts w:hint="eastAsia" w:ascii="STFangsong" w:hAnsi="STFangsong" w:eastAsia="STFangsong" w:cs="STFangsong"/>
          <w:sz w:val="22"/>
          <w:szCs w:val="22"/>
        </w:rPr>
        <w:t xml:space="preserve">，从业人员</w:t>
      </w:r>
      <w:r>
        <w:rPr>
          <w:rFonts w:hint="eastAsia" w:ascii="STFangsong" w:hAnsi="STFangsong" w:cs="STFangsong"/>
          <w:sz w:val="22"/>
          <w:szCs w:val="22"/>
          <w:u w:val="single"/>
        </w:rPr>
        <w:t xml:space="preserve">      </w:t>
      </w:r>
      <w:r>
        <w:rPr>
          <w:rFonts w:hint="eastAsia" w:ascii="STFangsong" w:hAnsi="STFangsong" w:eastAsia="STFangsong" w:cs="STFangsong"/>
          <w:sz w:val="22"/>
          <w:szCs w:val="22"/>
        </w:rPr>
        <w:t xml:space="preserve">人，营业收入为</w:t>
      </w:r>
      <w:r>
        <w:rPr>
          <w:rFonts w:hint="eastAsia" w:ascii="STFangsong" w:hAnsi="STFangsong" w:cs="STFangsong"/>
          <w:sz w:val="22"/>
          <w:szCs w:val="22"/>
          <w:u w:val="single"/>
        </w:rPr>
        <w:t xml:space="preserve">     </w:t>
      </w:r>
      <w:r>
        <w:rPr>
          <w:rFonts w:hint="eastAsia" w:ascii="STFangsong" w:hAnsi="STFangsong" w:eastAsia="STFangsong" w:cs="STFangsong"/>
          <w:sz w:val="22"/>
          <w:szCs w:val="22"/>
        </w:rPr>
        <w:t xml:space="preserve">万元，资产总额为</w:t>
      </w:r>
      <w:r>
        <w:rPr>
          <w:rFonts w:hint="eastAsia" w:ascii="STFangsong" w:hAnsi="STFangsong" w:cs="STFangsong"/>
          <w:sz w:val="22"/>
          <w:szCs w:val="22"/>
          <w:u w:val="single"/>
        </w:rPr>
        <w:t xml:space="preserve">      </w:t>
      </w:r>
      <w:r>
        <w:rPr>
          <w:rFonts w:hint="eastAsia" w:ascii="STFangsong" w:hAnsi="STFangsong" w:eastAsia="STFangsong" w:cs="STFangsong"/>
          <w:sz w:val="22"/>
          <w:szCs w:val="22"/>
        </w:rPr>
        <w:t xml:space="preserve">万元</w:t>
      </w:r>
      <w:r>
        <w:rPr>
          <w:rFonts w:hint="eastAsia" w:ascii="STFangsong" w:hAnsi="STFangsong" w:cs="STFangsong"/>
          <w:sz w:val="22"/>
          <w:szCs w:val="22"/>
          <w:vertAlign w:val="superscript"/>
        </w:rPr>
        <w:t xml:space="preserve">1</w:t>
      </w:r>
      <w:r>
        <w:rPr>
          <w:rFonts w:hint="eastAsia" w:ascii="STFangsong" w:hAnsi="STFangsong" w:eastAsia="STFangsong" w:cs="STFangsong"/>
          <w:sz w:val="22"/>
          <w:szCs w:val="22"/>
        </w:rPr>
        <w:t xml:space="preserve">，属于</w:t>
      </w:r>
      <w:r>
        <w:rPr>
          <w:rFonts w:hint="eastAsia" w:ascii="STFangsong" w:hAnsi="STFangsong" w:eastAsia="STFangsong" w:cs="STFangsong"/>
          <w:sz w:val="22"/>
          <w:szCs w:val="22"/>
          <w:u w:val="single"/>
        </w:rPr>
        <w:t xml:space="preserve">（□中型企业 □小型企业 □微型企业）；</w:t>
      </w:r>
      <w:r>
        <w:rPr>
          <w:rFonts w:ascii="STFangsong" w:hAnsi="STFangsong" w:cs="STFangsong"/>
          <w:sz w:val="20"/>
          <w:szCs w:val="20"/>
        </w:rPr>
      </w:r>
      <w:r/>
    </w:p>
    <w:p>
      <w:pPr>
        <w:ind w:firstLine="360"/>
        <w:spacing w:line="360" w:lineRule="auto"/>
        <w:rPr>
          <w:rFonts w:ascii="STFangsong" w:hAnsi="STFangsong" w:cs="STFangsong"/>
          <w:sz w:val="22"/>
          <w:szCs w:val="22"/>
        </w:rPr>
      </w:pPr>
      <w:r>
        <w:rPr>
          <w:rFonts w:hint="eastAsia" w:ascii="STFangsong" w:hAnsi="STFangsong" w:eastAsia="STFangsong" w:cs="STFangsong"/>
          <w:sz w:val="22"/>
          <w:szCs w:val="22"/>
        </w:rPr>
        <w:t xml:space="preserve">……</w:t>
      </w:r>
      <w:r>
        <w:rPr>
          <w:rFonts w:ascii="STFangsong" w:hAnsi="STFangsong" w:cs="STFangsong"/>
          <w:sz w:val="20"/>
          <w:szCs w:val="20"/>
        </w:rPr>
      </w:r>
      <w:r/>
    </w:p>
    <w:p>
      <w:pPr>
        <w:ind w:firstLine="360"/>
        <w:spacing w:line="360" w:lineRule="auto"/>
        <w:rPr>
          <w:rFonts w:ascii="STFangsong" w:hAnsi="STFangsong" w:cs="STFangsong"/>
          <w:sz w:val="22"/>
          <w:szCs w:val="22"/>
        </w:rPr>
      </w:pPr>
      <w:r>
        <w:rPr>
          <w:rFonts w:hint="eastAsia" w:ascii="STFangsong" w:hAnsi="STFangsong" w:eastAsia="STFangsong" w:cs="STFangsong"/>
          <w:sz w:val="22"/>
          <w:szCs w:val="22"/>
        </w:rPr>
        <w:t xml:space="preserve">以上企业，不属于大企业的分支机构，不存在控股股东为大企业的情形，也不存在与大企业的负责人为同一人的情形。</w:t>
      </w:r>
      <w:r>
        <w:rPr>
          <w:rFonts w:ascii="STFangsong" w:hAnsi="STFangsong" w:cs="STFangsong"/>
          <w:sz w:val="20"/>
          <w:szCs w:val="20"/>
        </w:rPr>
      </w:r>
      <w:r/>
    </w:p>
    <w:p>
      <w:pPr>
        <w:ind w:firstLine="360"/>
        <w:spacing w:line="360" w:lineRule="auto"/>
        <w:rPr>
          <w:rFonts w:ascii="STFangsong" w:hAnsi="STFangsong" w:cs="STFangsong"/>
          <w:sz w:val="22"/>
          <w:szCs w:val="22"/>
        </w:rPr>
      </w:pPr>
      <w:r>
        <w:rPr>
          <w:rFonts w:hint="eastAsia" w:ascii="STFangsong" w:hAnsi="STFangsong" w:eastAsia="STFangsong" w:cs="STFangsong"/>
          <w:sz w:val="22"/>
          <w:szCs w:val="22"/>
        </w:rPr>
        <w:t xml:space="preserve">本企业对上述声明内容的真实性负责。如有虚假，将依法承担相应责任</w:t>
      </w:r>
      <w:r>
        <w:rPr>
          <w:rFonts w:ascii="STFangsong" w:hAnsi="STFangsong" w:cs="STFangsong"/>
          <w:sz w:val="20"/>
          <w:szCs w:val="20"/>
        </w:rPr>
      </w:r>
      <w:r/>
    </w:p>
    <w:p>
      <w:pPr>
        <w:ind w:right="180" w:firstLine="0"/>
        <w:jc w:val="left"/>
        <w:spacing w:line="360" w:lineRule="auto"/>
        <w:rPr>
          <w:rFonts w:ascii="STFangsong" w:hAnsi="STFangsong" w:cs="STFangsong"/>
          <w:sz w:val="22"/>
          <w:szCs w:val="22"/>
        </w:rPr>
      </w:pPr>
      <w:r>
        <w:rPr>
          <w:rFonts w:hint="eastAsia" w:ascii="STFangsong" w:hAnsi="STFangsong" w:cs="STFangsong"/>
          <w:sz w:val="22"/>
          <w:szCs w:val="22"/>
          <w:lang w:val="en-US" w:eastAsia="zh-CN"/>
        </w:rPr>
        <w:t xml:space="preserve">                                             </w:t>
      </w:r>
      <w:r>
        <w:rPr>
          <w:rFonts w:hint="eastAsia" w:ascii="STFangsong" w:hAnsi="STFangsong" w:eastAsia="STFangsong" w:cs="STFangsong"/>
          <w:sz w:val="22"/>
          <w:szCs w:val="22"/>
        </w:rPr>
        <w:t xml:space="preserve">企业名称（加盖CA电子公章）：</w:t>
      </w:r>
      <w:r>
        <w:rPr>
          <w:rFonts w:ascii="STFangsong" w:hAnsi="STFangsong" w:cs="STFangsong"/>
          <w:sz w:val="20"/>
          <w:szCs w:val="20"/>
        </w:rPr>
      </w:r>
      <w:r/>
    </w:p>
    <w:p>
      <w:pPr>
        <w:ind w:right="180" w:firstLine="360"/>
        <w:jc w:val="center"/>
        <w:spacing w:line="360" w:lineRule="auto"/>
        <w:rPr>
          <w:rFonts w:ascii="STFangsong" w:hAnsi="STFangsong" w:cs="STFangsong"/>
          <w:sz w:val="22"/>
          <w:szCs w:val="22"/>
        </w:rPr>
      </w:pPr>
      <w:r>
        <w:rPr>
          <w:rFonts w:hint="eastAsia" w:ascii="STFangsong" w:hAnsi="STFangsong" w:eastAsia="宋体" w:cs="STFangsong"/>
          <w:i w:val="0"/>
          <w:iCs w:val="0"/>
          <w:caps w:val="0"/>
          <w:color w:val="auto"/>
          <w:spacing w:val="0"/>
          <w:sz w:val="22"/>
          <w:szCs w:val="22"/>
          <w:shd w:val="clear" w:color="auto" w:fill="ffffff"/>
          <w:lang w:val="en-US" w:eastAsia="zh-CN"/>
        </w:rPr>
        <w:t xml:space="preserve">                               </w:t>
      </w:r>
      <w:r>
        <w:rPr>
          <w:rFonts w:hint="eastAsia" w:ascii="STFangsong" w:hAnsi="STFangsong" w:eastAsia="STFangsong" w:cs="STFangsong"/>
          <w:i w:val="0"/>
          <w:iCs w:val="0"/>
          <w:caps w:val="0"/>
          <w:color w:val="auto"/>
          <w:spacing w:val="0"/>
          <w:sz w:val="22"/>
          <w:szCs w:val="22"/>
          <w:shd w:val="clear" w:color="auto" w:fill="ffffff"/>
        </w:rPr>
        <w:t xml:space="preserve">日期：___年____月____日 </w:t>
      </w:r>
      <w:r>
        <w:rPr>
          <w:rFonts w:hint="eastAsia" w:ascii="STFangsong" w:hAnsi="STFangsong" w:cs="STFangsong"/>
          <w:sz w:val="22"/>
          <w:szCs w:val="22"/>
        </w:rPr>
      </w:r>
      <w:r/>
    </w:p>
    <w:p>
      <w:pPr>
        <w:ind w:firstLine="480"/>
        <w:spacing w:line="400" w:lineRule="exact"/>
        <w:rPr>
          <w:rFonts w:ascii="STFangsong" w:hAnsi="STFangsong" w:cs="STFangsong"/>
          <w:sz w:val="22"/>
          <w:szCs w:val="22"/>
        </w:rPr>
      </w:pPr>
      <w:r>
        <w:rPr>
          <w:rFonts w:hint="eastAsia" w:ascii="STFangsong" w:hAnsi="STFangsong" w:eastAsia="STFangsong" w:cs="STFangsong"/>
          <w:sz w:val="22"/>
          <w:szCs w:val="22"/>
        </w:rPr>
        <w:t xml:space="preserve">备注：</w:t>
      </w:r>
      <w:r>
        <w:rPr>
          <w:rFonts w:ascii="STFangsong" w:hAnsi="STFangsong" w:cs="STFangsong"/>
          <w:sz w:val="20"/>
          <w:szCs w:val="20"/>
        </w:rPr>
      </w:r>
      <w:r/>
    </w:p>
    <w:p>
      <w:pPr>
        <w:ind w:firstLine="480"/>
        <w:spacing w:line="400" w:lineRule="exact"/>
        <w:rPr>
          <w:rFonts w:ascii="STFangsong" w:hAnsi="STFangsong" w:cs="STFangsong"/>
          <w:sz w:val="22"/>
          <w:szCs w:val="22"/>
        </w:rPr>
      </w:pPr>
      <w:r>
        <w:rPr>
          <w:rFonts w:hint="eastAsia" w:ascii="STFangsong" w:hAnsi="STFangsong" w:eastAsia="STFangsong" w:cs="STFangsong"/>
          <w:sz w:val="22"/>
          <w:szCs w:val="22"/>
        </w:rPr>
        <w:t xml:space="preserve">1.从业人员、营业收入、资产总额填报上一年度数据，无上一年度数据的新成立企业可不填报。</w:t>
      </w:r>
      <w:r>
        <w:rPr>
          <w:rFonts w:ascii="STFangsong" w:hAnsi="STFangsong" w:cs="STFangsong"/>
          <w:sz w:val="20"/>
          <w:szCs w:val="20"/>
        </w:rPr>
      </w:r>
      <w:r/>
    </w:p>
    <w:p>
      <w:pPr>
        <w:ind w:firstLine="480"/>
        <w:spacing w:line="400" w:lineRule="exact"/>
        <w:rPr>
          <w:rFonts w:ascii="STFangsong" w:hAnsi="STFangsong" w:cs="STFangsong"/>
          <w:sz w:val="22"/>
          <w:szCs w:val="22"/>
        </w:rPr>
      </w:pPr>
      <w:r>
        <w:rPr>
          <w:rFonts w:hint="eastAsia" w:ascii="STFangsong" w:hAnsi="STFangsong" w:eastAsia="STFangsong" w:cs="STFangsong"/>
          <w:sz w:val="22"/>
          <w:szCs w:val="22"/>
        </w:rPr>
        <w:t xml:space="preserve">2.专门</w:t>
      </w:r>
      <w:r>
        <w:rPr>
          <w:rFonts w:ascii="STFangsong" w:hAnsi="STFangsong" w:eastAsia="STFangsong" w:cs="STFangsong"/>
          <w:sz w:val="22"/>
          <w:szCs w:val="22"/>
        </w:rPr>
        <w:t xml:space="preserve">面向中小微型企业</w:t>
      </w:r>
      <w:r>
        <w:rPr>
          <w:rFonts w:hint="eastAsia" w:ascii="STFangsong" w:hAnsi="STFangsong" w:eastAsia="STFangsong" w:cs="STFangsong"/>
          <w:sz w:val="22"/>
          <w:szCs w:val="22"/>
        </w:rPr>
        <w:t xml:space="preserve">采购</w:t>
      </w:r>
      <w:r>
        <w:rPr>
          <w:rFonts w:ascii="STFangsong" w:hAnsi="STFangsong" w:eastAsia="STFangsong" w:cs="STFangsong"/>
          <w:sz w:val="22"/>
          <w:szCs w:val="22"/>
        </w:rPr>
        <w:t xml:space="preserve">的项目，</w:t>
      </w:r>
      <w:r>
        <w:rPr>
          <w:rFonts w:hint="eastAsia" w:ascii="STFangsong" w:hAnsi="STFangsong" w:eastAsia="STFangsong" w:cs="STFangsong"/>
          <w:sz w:val="22"/>
          <w:szCs w:val="22"/>
        </w:rPr>
        <w:t xml:space="preserve">供应商如不提供此声明函，则</w:t>
      </w:r>
      <w:r>
        <w:rPr>
          <w:rFonts w:ascii="STFangsong" w:hAnsi="STFangsong" w:eastAsia="STFangsong" w:cs="STFangsong"/>
          <w:sz w:val="22"/>
          <w:szCs w:val="22"/>
        </w:rPr>
        <w:t xml:space="preserve">不能通过资格审查；</w:t>
      </w:r>
      <w:r>
        <w:rPr>
          <w:rFonts w:hint="eastAsia" w:ascii="STFangsong" w:hAnsi="STFangsong" w:eastAsia="STFangsong" w:cs="STFangsong"/>
          <w:sz w:val="22"/>
          <w:szCs w:val="22"/>
        </w:rPr>
        <w:t xml:space="preserve">非专门</w:t>
      </w:r>
      <w:r>
        <w:rPr>
          <w:rFonts w:ascii="STFangsong" w:hAnsi="STFangsong" w:eastAsia="STFangsong" w:cs="STFangsong"/>
          <w:sz w:val="22"/>
          <w:szCs w:val="22"/>
        </w:rPr>
        <w:t xml:space="preserve">面向中小微型企业</w:t>
      </w:r>
      <w:r>
        <w:rPr>
          <w:rFonts w:hint="eastAsia" w:ascii="STFangsong" w:hAnsi="STFangsong" w:eastAsia="STFangsong" w:cs="STFangsong"/>
          <w:sz w:val="22"/>
          <w:szCs w:val="22"/>
        </w:rPr>
        <w:t xml:space="preserve">采购</w:t>
      </w:r>
      <w:r>
        <w:rPr>
          <w:rFonts w:ascii="STFangsong" w:hAnsi="STFangsong" w:eastAsia="STFangsong" w:cs="STFangsong"/>
          <w:sz w:val="22"/>
          <w:szCs w:val="22"/>
        </w:rPr>
        <w:t xml:space="preserve">的项目，</w:t>
      </w:r>
      <w:r>
        <w:rPr>
          <w:rFonts w:hint="eastAsia" w:ascii="STFangsong" w:hAnsi="STFangsong" w:eastAsia="STFangsong" w:cs="STFangsong"/>
          <w:sz w:val="22"/>
          <w:szCs w:val="22"/>
        </w:rPr>
        <w:t xml:space="preserve">供应商如不提供此声明函，价格将不做相应扣除。</w:t>
      </w:r>
      <w:r>
        <w:rPr>
          <w:rFonts w:ascii="STFangsong" w:hAnsi="STFangsong" w:cs="STFangsong"/>
          <w:sz w:val="20"/>
          <w:szCs w:val="20"/>
        </w:rPr>
      </w:r>
      <w:r/>
    </w:p>
    <w:p>
      <w:pPr>
        <w:ind w:firstLine="480"/>
        <w:spacing w:line="400" w:lineRule="exact"/>
        <w:rPr>
          <w:rFonts w:hint="eastAsia" w:ascii="STFangsong" w:hAnsi="STFangsong" w:cs="STFangsong"/>
          <w:b/>
          <w:bCs/>
          <w:i/>
          <w:sz w:val="22"/>
          <w:szCs w:val="22"/>
          <w:u w:val="single"/>
        </w:rPr>
      </w:pPr>
      <w:r>
        <w:rPr>
          <w:rFonts w:hint="eastAsia" w:ascii="STFangsong" w:hAnsi="STFangsong" w:eastAsia="STFangsong" w:cs="STFangsong"/>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STFangsong" w:hAnsi="STFangsong" w:eastAsia="STFangsong" w:cs="STFangsong"/>
          <w:sz w:val="22"/>
          <w:szCs w:val="22"/>
        </w:rPr>
        <w:t xml:space="preserve">自行勾选</w:t>
      </w:r>
      <w:r>
        <w:rPr>
          <w:rFonts w:hint="eastAsia" w:ascii="STFangsong" w:hAnsi="STFangsong" w:eastAsia="STFangsong" w:cs="STFangsong"/>
          <w:sz w:val="22"/>
          <w:szCs w:val="22"/>
        </w:rPr>
        <w:t xml:space="preserve">承接企业</w:t>
      </w:r>
      <w:r>
        <w:rPr>
          <w:rFonts w:ascii="STFangsong" w:hAnsi="STFangsong" w:eastAsia="STFangsong" w:cs="STFangsong"/>
          <w:sz w:val="22"/>
          <w:szCs w:val="22"/>
        </w:rPr>
        <w:t xml:space="preserve">的企业</w:t>
      </w:r>
      <w:r>
        <w:rPr>
          <w:rFonts w:hint="eastAsia" w:ascii="STFangsong" w:hAnsi="STFangsong" w:eastAsia="STFangsong" w:cs="STFangsong"/>
          <w:sz w:val="22"/>
          <w:szCs w:val="22"/>
        </w:rPr>
        <w:t xml:space="preserve">规模类型</w:t>
      </w:r>
      <w:r>
        <w:rPr>
          <w:rFonts w:ascii="STFangsong" w:hAnsi="STFangsong" w:eastAsia="STFangsong" w:cs="STFangsong"/>
          <w:sz w:val="22"/>
          <w:szCs w:val="22"/>
        </w:rPr>
        <w:t xml:space="preserve">。</w:t>
      </w:r>
      <w:r>
        <w:rPr>
          <w:rFonts w:ascii="STFangsong" w:hAnsi="STFangsong" w:cs="STFangsong"/>
          <w:sz w:val="20"/>
          <w:szCs w:val="20"/>
        </w:rPr>
      </w:r>
      <w:r/>
    </w:p>
    <w:p>
      <w:pPr>
        <w:jc w:val="center"/>
        <w:spacing w:line="360" w:lineRule="auto"/>
        <w:rPr>
          <w:rFonts w:hint="eastAsia" w:ascii="华文仿宋" w:hAnsi="华文仿宋" w:cs="华文仿宋"/>
          <w:b/>
          <w:bCs/>
          <w:sz w:val="24"/>
          <w:szCs w:val="24"/>
        </w:rPr>
      </w:pPr>
      <w:r>
        <w:rPr>
          <w:rFonts w:hint="eastAsia" w:ascii="华文仿宋" w:hAnsi="华文仿宋" w:eastAsia="华文仿宋" w:cs="华文仿宋"/>
          <w:b/>
          <w:sz w:val="24"/>
          <w:szCs w:val="24"/>
          <w:highlight w:val="none"/>
        </w:rPr>
      </w:r>
      <w:r>
        <w:rPr>
          <w:rFonts w:hint="eastAsia" w:ascii="华文仿宋" w:hAnsi="华文仿宋" w:eastAsia="华文仿宋" w:cs="华文仿宋"/>
          <w:b/>
          <w:sz w:val="24"/>
          <w:szCs w:val="24"/>
          <w:highlight w:val="none"/>
        </w:rPr>
      </w:r>
      <w:r/>
    </w:p>
    <w:p>
      <w:pPr>
        <w:jc w:val="center"/>
        <w:spacing w:line="360" w:lineRule="auto"/>
        <w:rPr>
          <w:rFonts w:hint="eastAsia" w:ascii="华文仿宋" w:hAnsi="华文仿宋" w:eastAsia="华文仿宋" w:cs="华文仿宋"/>
          <w:b/>
          <w:bCs/>
          <w:sz w:val="24"/>
          <w:szCs w:val="24"/>
          <w:highlight w:val="none"/>
        </w:rPr>
      </w:pPr>
      <w:r>
        <w:rPr>
          <w:rFonts w:hint="eastAsia" w:ascii="华文仿宋" w:hAnsi="华文仿宋" w:eastAsia="华文仿宋" w:cs="华文仿宋"/>
          <w:b/>
          <w:sz w:val="24"/>
          <w:szCs w:val="24"/>
          <w:highlight w:val="none"/>
        </w:rPr>
      </w:r>
      <w:r>
        <w:rPr>
          <w:rFonts w:hint="eastAsia" w:ascii="华文仿宋" w:hAnsi="华文仿宋" w:eastAsia="华文仿宋" w:cs="华文仿宋"/>
          <w:b/>
          <w:sz w:val="24"/>
          <w:szCs w:val="24"/>
          <w:highlight w:val="none"/>
        </w:rPr>
      </w:r>
    </w:p>
    <w:p>
      <w:pPr>
        <w:jc w:val="center"/>
        <w:spacing w:line="360" w:lineRule="auto"/>
        <w:rPr>
          <w:rFonts w:hint="eastAsia" w:ascii="华文仿宋" w:hAnsi="华文仿宋" w:eastAsia="华文仿宋" w:cs="华文仿宋"/>
          <w:b/>
          <w:bCs/>
          <w:sz w:val="24"/>
          <w:szCs w:val="24"/>
          <w:highlight w:val="none"/>
        </w:rPr>
      </w:pPr>
      <w:r>
        <w:rPr>
          <w:rFonts w:ascii="华文仿宋" w:hAnsi="华文仿宋" w:cs="华文仿宋"/>
        </w:rPr>
      </w:r>
      <w:r>
        <w:rPr>
          <w:rFonts w:hint="eastAsia" w:ascii="华文仿宋" w:hAnsi="华文仿宋" w:eastAsia="华文仿宋" w:cs="华文仿宋"/>
          <w:b/>
          <w:sz w:val="24"/>
          <w:szCs w:val="24"/>
        </w:rPr>
        <w:t xml:space="preserve">残疾人福利性单位声明函（</w:t>
      </w:r>
      <w:r>
        <w:rPr>
          <w:rFonts w:hint="eastAsia" w:ascii="华文仿宋" w:hAnsi="华文仿宋" w:eastAsia="华文仿宋" w:cs="华文仿宋"/>
          <w:b/>
          <w:sz w:val="24"/>
          <w:szCs w:val="24"/>
          <w:lang w:val="en-US" w:eastAsia="zh-CN"/>
        </w:rPr>
        <w:t xml:space="preserve">工程</w:t>
      </w:r>
      <w:r>
        <w:rPr>
          <w:rFonts w:hint="eastAsia" w:ascii="华文仿宋" w:hAnsi="华文仿宋" w:eastAsia="华文仿宋" w:cs="华文仿宋"/>
          <w:b/>
          <w:sz w:val="24"/>
          <w:szCs w:val="24"/>
        </w:rPr>
        <w:t xml:space="preserve">类项目）</w:t>
      </w:r>
      <w:r>
        <w:rPr>
          <w:rFonts w:hint="eastAsia" w:ascii="华文仿宋" w:hAnsi="华文仿宋" w:cs="华文仿宋"/>
          <w:b/>
          <w:sz w:val="24"/>
          <w:szCs w:val="24"/>
        </w:rPr>
      </w:r>
      <w:r/>
    </w:p>
    <w:p>
      <w:pPr>
        <w:ind w:firstLine="480"/>
        <w:spacing w:line="360" w:lineRule="auto"/>
        <w:rPr>
          <w:rFonts w:ascii="华文仿宋" w:hAnsi="华文仿宋" w:cs="华文仿宋"/>
        </w:rPr>
      </w:pPr>
      <w:r>
        <w:rPr>
          <w:rFonts w:hint="eastAsia" w:ascii="华文仿宋" w:hAnsi="华文仿宋" w:eastAsia="华文仿宋" w:cs="华文仿宋"/>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华文仿宋" w:hAnsi="华文仿宋" w:eastAsia="华文仿宋" w:cs="华文仿宋"/>
          <w:sz w:val="24"/>
          <w:szCs w:val="24"/>
          <w:u w:val="single"/>
        </w:rPr>
        <w:t xml:space="preserve">（单位名称）</w:t>
      </w:r>
      <w:r>
        <w:rPr>
          <w:rFonts w:hint="eastAsia" w:ascii="华文仿宋" w:hAnsi="华文仿宋" w:eastAsia="华文仿宋" w:cs="华文仿宋"/>
          <w:sz w:val="24"/>
          <w:szCs w:val="24"/>
        </w:rPr>
        <w:t xml:space="preserve">采购编号为</w:t>
      </w:r>
      <w:r>
        <w:rPr>
          <w:rFonts w:hint="eastAsia" w:ascii="华文仿宋" w:hAnsi="华文仿宋" w:eastAsia="华文仿宋" w:cs="华文仿宋"/>
          <w:sz w:val="24"/>
          <w:szCs w:val="24"/>
          <w:u w:val="single"/>
        </w:rPr>
        <w:t xml:space="preserve">（</w:t>
      </w:r>
      <w:r>
        <w:rPr>
          <w:rFonts w:hint="eastAsia" w:ascii="华文仿宋" w:hAnsi="华文仿宋" w:eastAsia="华文仿宋" w:cs="华文仿宋"/>
          <w:sz w:val="24"/>
          <w:szCs w:val="24"/>
          <w:u w:val="single"/>
          <w:lang w:val="en-US" w:eastAsia="zh-CN"/>
        </w:rPr>
        <w:t xml:space="preserve">采购编号</w:t>
      </w:r>
      <w:r>
        <w:rPr>
          <w:rFonts w:hint="eastAsia" w:ascii="华文仿宋" w:hAnsi="华文仿宋" w:eastAsia="华文仿宋" w:cs="华文仿宋"/>
          <w:sz w:val="24"/>
          <w:szCs w:val="24"/>
          <w:u w:val="single"/>
        </w:rPr>
        <w:t xml:space="preserve">）</w:t>
      </w:r>
      <w:r>
        <w:rPr>
          <w:rFonts w:hint="eastAsia" w:ascii="华文仿宋" w:hAnsi="华文仿宋" w:eastAsia="华文仿宋" w:cs="华文仿宋"/>
          <w:sz w:val="24"/>
          <w:szCs w:val="24"/>
        </w:rPr>
        <w:t xml:space="preserve">，</w:t>
      </w:r>
      <w:r>
        <w:rPr>
          <w:rFonts w:hint="eastAsia" w:ascii="华文仿宋" w:hAnsi="华文仿宋" w:cs="华文仿宋"/>
          <w:sz w:val="24"/>
          <w:szCs w:val="24"/>
          <w:u w:val="none"/>
          <w:lang w:val="en-US" w:eastAsia="zh-CN"/>
        </w:rPr>
        <w:t xml:space="preserve"> </w:t>
      </w:r>
      <w:r>
        <w:rPr>
          <w:rFonts w:hint="eastAsia" w:ascii="华文仿宋" w:hAnsi="华文仿宋" w:cs="华文仿宋"/>
          <w:sz w:val="24"/>
          <w:szCs w:val="24"/>
          <w:u w:val="single"/>
          <w:lang w:val="en-US" w:eastAsia="zh-CN"/>
        </w:rPr>
        <w:t xml:space="preserve">    </w:t>
      </w:r>
      <w:r>
        <w:rPr>
          <w:rFonts w:hint="eastAsia" w:ascii="华文仿宋" w:hAnsi="华文仿宋" w:eastAsia="华文仿宋" w:cs="华文仿宋"/>
          <w:sz w:val="24"/>
          <w:szCs w:val="24"/>
          <w:u w:val="none"/>
          <w:lang w:val="en-US" w:eastAsia="zh-CN"/>
        </w:rPr>
        <w:t xml:space="preserve">项目</w:t>
      </w:r>
      <w:r>
        <w:rPr>
          <w:rFonts w:hint="eastAsia" w:ascii="华文仿宋" w:hAnsi="华文仿宋" w:eastAsia="华文仿宋" w:cs="华文仿宋"/>
          <w:sz w:val="24"/>
          <w:szCs w:val="24"/>
          <w:u w:val="none"/>
        </w:rPr>
        <w:t xml:space="preserve">（项目名称）</w:t>
      </w:r>
      <w:r>
        <w:rPr>
          <w:rFonts w:hint="eastAsia" w:ascii="华文仿宋" w:hAnsi="华文仿宋" w:eastAsia="华文仿宋" w:cs="华文仿宋"/>
          <w:sz w:val="24"/>
        </w:rPr>
        <w:t xml:space="preserve">采购活动由本单位</w:t>
      </w:r>
      <w:r>
        <w:rPr>
          <w:rFonts w:hint="eastAsia" w:ascii="华文仿宋" w:hAnsi="华文仿宋" w:eastAsia="华文仿宋" w:cs="华文仿宋"/>
          <w:sz w:val="24"/>
          <w:lang w:val="en-US" w:eastAsia="zh-CN"/>
        </w:rPr>
        <w:t xml:space="preserve">承担工程</w:t>
      </w:r>
      <w:r>
        <w:rPr>
          <w:rFonts w:hint="eastAsia" w:ascii="华文仿宋" w:hAnsi="华文仿宋" w:eastAsia="华文仿宋" w:cs="华文仿宋"/>
          <w:sz w:val="24"/>
        </w:rPr>
        <w:t xml:space="preserve">。</w:t>
      </w:r>
      <w:r>
        <w:rPr>
          <w:rFonts w:ascii="华文仿宋" w:hAnsi="华文仿宋" w:cs="华文仿宋"/>
        </w:rPr>
      </w:r>
      <w:r/>
    </w:p>
    <w:p>
      <w:pPr>
        <w:ind w:firstLine="480"/>
        <w:spacing w:line="360" w:lineRule="auto"/>
        <w:rPr>
          <w:rFonts w:ascii="华文仿宋" w:hAnsi="华文仿宋" w:cs="华文仿宋"/>
        </w:rPr>
      </w:pPr>
      <w:r>
        <w:rPr>
          <w:rFonts w:hint="eastAsia" w:ascii="华文仿宋" w:hAnsi="华文仿宋" w:eastAsia="华文仿宋" w:cs="华文仿宋"/>
          <w:sz w:val="24"/>
        </w:rPr>
        <w:t xml:space="preserve">本单位对上述声明的真实性负责。如有虚假，将依法承担相应责任。</w:t>
      </w:r>
      <w:r>
        <w:rPr>
          <w:rFonts w:ascii="华文仿宋" w:hAnsi="华文仿宋" w:cs="华文仿宋"/>
        </w:rPr>
      </w:r>
      <w:r/>
    </w:p>
    <w:p>
      <w:pPr>
        <w:ind w:firstLine="480"/>
        <w:spacing w:line="360" w:lineRule="auto"/>
        <w:rPr>
          <w:rFonts w:ascii="华文仿宋" w:hAnsi="华文仿宋" w:cs="华文仿宋"/>
        </w:rPr>
      </w:pPr>
      <w:r>
        <w:rPr>
          <w:rFonts w:hint="eastAsia" w:ascii="华文仿宋" w:hAnsi="华文仿宋" w:cs="华文仿宋"/>
          <w:sz w:val="24"/>
        </w:rPr>
      </w:r>
      <w:r>
        <w:rPr>
          <w:rFonts w:ascii="华文仿宋" w:hAnsi="华文仿宋" w:cs="华文仿宋"/>
        </w:rPr>
      </w:r>
      <w:r/>
    </w:p>
    <w:p>
      <w:pPr>
        <w:ind w:firstLine="480"/>
        <w:spacing w:line="360" w:lineRule="auto"/>
        <w:rPr>
          <w:rFonts w:ascii="华文仿宋" w:hAnsi="华文仿宋" w:cs="华文仿宋"/>
        </w:rPr>
      </w:pPr>
      <w:r>
        <w:rPr>
          <w:rFonts w:hint="eastAsia" w:ascii="华文仿宋" w:hAnsi="华文仿宋" w:eastAsia="华文仿宋" w:cs="华文仿宋"/>
          <w:sz w:val="24"/>
        </w:rPr>
        <w:t xml:space="preserve">备注：</w:t>
      </w:r>
      <w:r>
        <w:rPr>
          <w:rFonts w:ascii="华文仿宋" w:hAnsi="华文仿宋" w:cs="华文仿宋"/>
        </w:rPr>
      </w:r>
      <w:r/>
    </w:p>
    <w:p>
      <w:pPr>
        <w:ind w:firstLine="480"/>
        <w:spacing w:line="360" w:lineRule="auto"/>
        <w:rPr>
          <w:rFonts w:ascii="华文仿宋" w:hAnsi="华文仿宋" w:cs="华文仿宋"/>
        </w:rPr>
      </w:pPr>
      <w:r>
        <w:rPr>
          <w:rFonts w:hint="eastAsia" w:ascii="华文仿宋" w:hAnsi="华文仿宋" w:cs="华文仿宋"/>
          <w:sz w:val="24"/>
        </w:rPr>
        <w:t xml:space="preserve">1</w:t>
      </w:r>
      <w:r>
        <w:rPr>
          <w:rFonts w:ascii="华文仿宋" w:hAnsi="华文仿宋" w:cs="华文仿宋"/>
          <w:sz w:val="24"/>
        </w:rPr>
        <w:t xml:space="preserve">.</w:t>
      </w:r>
      <w:r>
        <w:rPr>
          <w:rFonts w:hint="eastAsia" w:ascii="华文仿宋" w:hAnsi="华文仿宋" w:eastAsia="华文仿宋" w:cs="华文仿宋"/>
          <w:sz w:val="24"/>
        </w:rPr>
        <w:t xml:space="preserve">专门面向中小微型企业采购的</w:t>
      </w:r>
      <w:r>
        <w:rPr>
          <w:rFonts w:ascii="华文仿宋" w:hAnsi="华文仿宋" w:eastAsia="华文仿宋" w:cs="华文仿宋"/>
          <w:sz w:val="24"/>
        </w:rPr>
        <w:t xml:space="preserve">项目</w:t>
      </w:r>
      <w:r>
        <w:rPr>
          <w:rFonts w:hint="eastAsia" w:ascii="华文仿宋" w:hAnsi="华文仿宋" w:eastAsia="华文仿宋" w:cs="华文仿宋"/>
          <w:sz w:val="24"/>
        </w:rPr>
        <w:t xml:space="preserve">，供应商为残疾人福利性单位并提供服务的必须提供此</w:t>
      </w:r>
      <w:r>
        <w:rPr>
          <w:rFonts w:ascii="华文仿宋" w:hAnsi="华文仿宋" w:eastAsia="华文仿宋" w:cs="华文仿宋"/>
          <w:sz w:val="24"/>
        </w:rPr>
        <w:t xml:space="preserve">声明函</w:t>
      </w:r>
      <w:r>
        <w:rPr>
          <w:rFonts w:hint="eastAsia" w:ascii="华文仿宋" w:hAnsi="华文仿宋" w:eastAsia="华文仿宋" w:cs="华文仿宋"/>
          <w:sz w:val="24"/>
        </w:rPr>
        <w:t xml:space="preserve">，</w:t>
      </w:r>
      <w:r>
        <w:rPr>
          <w:rFonts w:ascii="华文仿宋" w:hAnsi="华文仿宋" w:eastAsia="华文仿宋" w:cs="华文仿宋"/>
          <w:sz w:val="24"/>
        </w:rPr>
        <w:t xml:space="preserve">否则将</w:t>
      </w:r>
      <w:r>
        <w:rPr>
          <w:rFonts w:hint="eastAsia" w:ascii="华文仿宋" w:hAnsi="华文仿宋" w:eastAsia="华文仿宋" w:cs="华文仿宋"/>
          <w:sz w:val="24"/>
        </w:rPr>
        <w:t xml:space="preserve">不能</w:t>
      </w:r>
      <w:r>
        <w:rPr>
          <w:rFonts w:ascii="华文仿宋" w:hAnsi="华文仿宋" w:eastAsia="华文仿宋" w:cs="华文仿宋"/>
          <w:sz w:val="24"/>
        </w:rPr>
        <w:t xml:space="preserve">通过资格审查</w:t>
      </w:r>
      <w:r>
        <w:rPr>
          <w:rFonts w:hint="eastAsia" w:ascii="华文仿宋" w:hAnsi="华文仿宋" w:eastAsia="华文仿宋" w:cs="华文仿宋"/>
          <w:sz w:val="24"/>
        </w:rPr>
        <w:t xml:space="preserve">。</w:t>
      </w:r>
      <w:r>
        <w:rPr>
          <w:rFonts w:ascii="华文仿宋" w:hAnsi="华文仿宋" w:cs="华文仿宋"/>
        </w:rPr>
      </w:r>
      <w:r/>
    </w:p>
    <w:p>
      <w:pPr>
        <w:ind w:firstLine="480"/>
        <w:spacing w:line="360" w:lineRule="auto"/>
        <w:rPr>
          <w:rFonts w:ascii="华文仿宋" w:hAnsi="华文仿宋" w:cs="华文仿宋"/>
        </w:rPr>
      </w:pPr>
      <w:r>
        <w:rPr>
          <w:rFonts w:hint="eastAsia" w:ascii="华文仿宋" w:hAnsi="华文仿宋" w:eastAsia="华文仿宋" w:cs="华文仿宋"/>
          <w:sz w:val="24"/>
        </w:rPr>
        <w:t xml:space="preserve">2.非专门面向中小微型企业采购的</w:t>
      </w:r>
      <w:r>
        <w:rPr>
          <w:rFonts w:ascii="华文仿宋" w:hAnsi="华文仿宋" w:eastAsia="华文仿宋" w:cs="华文仿宋"/>
          <w:sz w:val="24"/>
        </w:rPr>
        <w:t xml:space="preserve">项目</w:t>
      </w:r>
      <w:r>
        <w:rPr>
          <w:rFonts w:hint="eastAsia" w:ascii="华文仿宋" w:hAnsi="华文仿宋" w:eastAsia="华文仿宋" w:cs="华文仿宋"/>
          <w:sz w:val="24"/>
        </w:rPr>
        <w:t xml:space="preserve">，供应商如不提供此声明函，价格将不做相应扣除。</w:t>
      </w:r>
      <w:r>
        <w:rPr>
          <w:rFonts w:ascii="华文仿宋" w:hAnsi="华文仿宋" w:cs="华文仿宋"/>
        </w:rPr>
      </w:r>
      <w:r/>
    </w:p>
    <w:p>
      <w:pPr>
        <w:ind w:firstLine="480"/>
        <w:spacing w:line="360" w:lineRule="auto"/>
        <w:rPr>
          <w:rFonts w:ascii="华文仿宋" w:hAnsi="华文仿宋" w:cs="华文仿宋"/>
        </w:rPr>
      </w:pPr>
      <w:r>
        <w:rPr>
          <w:rFonts w:ascii="华文仿宋" w:hAnsi="华文仿宋" w:cs="华文仿宋"/>
          <w:sz w:val="24"/>
        </w:rPr>
        <w:t xml:space="preserve">3</w:t>
      </w:r>
      <w:r>
        <w:rPr>
          <w:rFonts w:hint="eastAsia" w:ascii="华文仿宋" w:hAnsi="华文仿宋" w:eastAsia="华文仿宋" w:cs="华文仿宋"/>
          <w:sz w:val="24"/>
        </w:rPr>
        <w:t xml:space="preserve">.中标/成交供应商为残疾人福利性单位的，此声明函将随中标/成交结果同时公告，接受社会监督</w:t>
      </w:r>
      <w:r>
        <w:rPr>
          <w:rFonts w:ascii="华文仿宋" w:hAnsi="华文仿宋" w:cs="华文仿宋"/>
          <w:sz w:val="24"/>
        </w:rPr>
        <w:t xml:space="preserve">。</w:t>
      </w:r>
      <w:r>
        <w:rPr>
          <w:rFonts w:ascii="华文仿宋" w:hAnsi="华文仿宋" w:cs="华文仿宋"/>
        </w:rPr>
      </w:r>
      <w:r/>
    </w:p>
    <w:p>
      <w:pPr>
        <w:ind w:firstLine="624"/>
        <w:spacing w:line="360" w:lineRule="auto"/>
        <w:rPr>
          <w:rFonts w:ascii="华文仿宋" w:hAnsi="华文仿宋" w:cs="华文仿宋"/>
        </w:rPr>
      </w:pPr>
      <w:r>
        <w:rPr>
          <w:rFonts w:ascii="华文仿宋" w:hAnsi="华文仿宋" w:eastAsia="仿宋_GB2312" w:cs="华文仿宋"/>
          <w:spacing w:val="6"/>
          <w:sz w:val="30"/>
          <w:szCs w:val="30"/>
        </w:rPr>
      </w:r>
      <w:r>
        <w:rPr>
          <w:rFonts w:ascii="华文仿宋" w:hAnsi="华文仿宋" w:cs="华文仿宋"/>
        </w:rPr>
      </w:r>
      <w:r/>
    </w:p>
    <w:p>
      <w:pPr>
        <w:ind w:right="1559" w:firstLine="624"/>
        <w:jc w:val="center"/>
        <w:spacing w:line="360" w:lineRule="auto"/>
        <w:tabs>
          <w:tab w:val="left" w:pos="4860" w:leader="none"/>
        </w:tabs>
        <w:rPr>
          <w:rFonts w:ascii="华文仿宋" w:hAnsi="华文仿宋" w:cs="华文仿宋"/>
        </w:rPr>
      </w:pPr>
      <w:r>
        <w:rPr>
          <w:rFonts w:hint="eastAsia" w:ascii="华文仿宋" w:hAnsi="华文仿宋" w:eastAsia="仿宋_GB2312" w:cs="华文仿宋"/>
          <w:spacing w:val="6"/>
          <w:sz w:val="30"/>
          <w:szCs w:val="30"/>
        </w:rPr>
        <w:t xml:space="preserve">             </w:t>
      </w:r>
      <w:r>
        <w:rPr>
          <w:rFonts w:hint="eastAsia" w:ascii="华文仿宋" w:hAnsi="华文仿宋" w:eastAsia="华文仿宋" w:cs="华文仿宋"/>
          <w:sz w:val="24"/>
        </w:rPr>
        <w:t xml:space="preserve">    供应商全称（加盖CA电子公章）：</w:t>
      </w:r>
      <w:r>
        <w:rPr>
          <w:rFonts w:ascii="华文仿宋" w:hAnsi="华文仿宋" w:cs="华文仿宋"/>
        </w:rPr>
      </w:r>
      <w:r/>
    </w:p>
    <w:p>
      <w:pPr>
        <w:rPr>
          <w:rFonts w:hint="eastAsia" w:ascii="华文仿宋" w:hAnsi="华文仿宋" w:cs="华文仿宋"/>
          <w:b/>
          <w:bCs/>
          <w:spacing w:val="6"/>
          <w:sz w:val="24"/>
          <w:szCs w:val="24"/>
        </w:rPr>
      </w:pPr>
      <w:r>
        <w:rPr>
          <w:rFonts w:hint="eastAsia" w:ascii="华文仿宋" w:hAnsi="华文仿宋" w:cs="华文仿宋"/>
          <w:sz w:val="24"/>
        </w:rPr>
        <w:t xml:space="preserve">     </w:t>
      </w:r>
      <w:r>
        <w:rPr>
          <w:rFonts w:hint="eastAsia" w:ascii="华文仿宋" w:hAnsi="华文仿宋" w:cs="华文仿宋"/>
          <w:sz w:val="24"/>
          <w:lang w:val="en-US" w:eastAsia="zh-CN"/>
        </w:rPr>
        <w:t xml:space="preserve">                      </w:t>
      </w:r>
      <w:r>
        <w:rPr>
          <w:rFonts w:hint="eastAsia" w:ascii="华文仿宋" w:hAnsi="华文仿宋" w:eastAsia="华文仿宋" w:cs="华文仿宋"/>
          <w:i w:val="0"/>
          <w:iCs w:val="0"/>
          <w:caps w:val="0"/>
          <w:color w:val="auto"/>
          <w:spacing w:val="0"/>
          <w:sz w:val="24"/>
          <w:szCs w:val="24"/>
          <w:shd w:val="clear" w:color="auto" w:fill="ffffff"/>
        </w:rPr>
        <w:t xml:space="preserve">  日期：___年____月____日  </w:t>
      </w:r>
      <w:r>
        <w:rPr>
          <w:rFonts w:ascii="华文仿宋" w:hAnsi="华文仿宋" w:cs="华文仿宋"/>
        </w:rPr>
      </w:r>
      <w:r/>
    </w:p>
    <w:p>
      <w:pPr>
        <w:ind w:right="1560" w:firstLine="480"/>
        <w:jc w:val="center"/>
        <w:spacing w:line="588" w:lineRule="exact"/>
        <w:tabs>
          <w:tab w:val="left" w:pos="4860" w:leader="none"/>
        </w:tabs>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jc w:val="left"/>
        <w:spacing w:line="460" w:lineRule="exact"/>
        <w:rPr>
          <w:rFonts w:hint="eastAsia" w:ascii="仿宋" w:hAnsi="仿宋" w:eastAsia="仿宋" w:cs="仿宋"/>
          <w:b/>
          <w:bCs/>
          <w:color w:val="auto"/>
          <w:sz w:val="32"/>
          <w:szCs w:val="32"/>
          <w:highlight w:val="none"/>
          <w:lang w:val="en-US" w:eastAsia="zh-CN"/>
        </w:rPr>
        <w:outlineLvl w:val="2"/>
      </w:pPr>
      <w:r/>
      <w:bookmarkStart w:id="433" w:name="_Toc122"/>
      <w:r>
        <w:rPr>
          <w:rStyle w:val="696"/>
          <w:rFonts w:hint="eastAsia" w:ascii="仿宋" w:hAnsi="仿宋" w:eastAsia="仿宋" w:cs="仿宋"/>
          <w:b/>
          <w:color w:val="auto"/>
          <w:sz w:val="28"/>
          <w:szCs w:val="28"/>
          <w:highlight w:val="none"/>
          <w:lang w:val="en-US" w:eastAsia="zh-CN" w:bidi="ar-SA"/>
        </w:rPr>
        <w:t xml:space="preserve">六、报价一览表</w:t>
      </w:r>
      <w:bookmarkEnd w:id="433"/>
      <w:r/>
      <w:r/>
    </w:p>
    <w:p>
      <w:pPr>
        <w:pStyle w:val="1293"/>
        <w:keepLines w:val="0"/>
        <w:keepNext w:val="0"/>
        <w:pageBreakBefore w:val="0"/>
        <w:spacing w:line="480" w:lineRule="exact"/>
        <w:rPr>
          <w:rFonts w:hint="eastAsia" w:ascii="仿宋" w:hAnsi="仿宋" w:eastAsia="仿宋" w:cs="仿宋"/>
          <w:b w:val="0"/>
          <w:color w:val="auto"/>
          <w:sz w:val="24"/>
          <w:lang w:val="en-US" w:eastAsia="zh-CN"/>
        </w:rPr>
      </w:pPr>
      <w:r>
        <w:rPr>
          <w:rFonts w:hint="eastAsia" w:ascii="仿宋" w:hAnsi="仿宋" w:eastAsia="仿宋" w:cs="仿宋"/>
          <w:b w:val="0"/>
          <w:color w:val="auto"/>
          <w:sz w:val="24"/>
          <w:lang w:val="en-US" w:eastAsia="zh-CN"/>
        </w:rPr>
        <w:t xml:space="preserve">供应商全称（加盖公章）：供应商名称</w:t>
      </w:r>
      <w:r/>
    </w:p>
    <w:p>
      <w:pPr>
        <w:pStyle w:val="1293"/>
        <w:keepLines w:val="0"/>
        <w:keepNext w:val="0"/>
        <w:pageBreakBefore w:val="0"/>
        <w:spacing w:line="480" w:lineRule="exact"/>
        <w:rPr>
          <w:rFonts w:hint="eastAsia" w:ascii="仿宋" w:hAnsi="仿宋" w:eastAsia="仿宋" w:cs="仿宋"/>
          <w:b w:val="0"/>
          <w:color w:val="auto"/>
          <w:sz w:val="24"/>
          <w:lang w:val="en-US" w:eastAsia="zh-CN"/>
        </w:rPr>
      </w:pPr>
      <w:r>
        <w:rPr>
          <w:rFonts w:hint="eastAsia" w:ascii="仿宋" w:hAnsi="仿宋" w:eastAsia="仿宋" w:cs="仿宋"/>
          <w:b w:val="0"/>
          <w:color w:val="auto"/>
          <w:sz w:val="24"/>
          <w:lang w:val="en-US" w:eastAsia="zh-CN"/>
        </w:rPr>
        <w:t xml:space="preserve">采购项目编号：</w:t>
      </w:r>
      <w:r/>
    </w:p>
    <w:p>
      <w:pPr>
        <w:keepLines w:val="0"/>
        <w:keepNext w:val="0"/>
        <w:pageBreakBefore w:val="0"/>
        <w:spacing w:line="480" w:lineRule="exact"/>
        <w:rPr>
          <w:rFonts w:hint="eastAsia" w:ascii="仿宋" w:hAnsi="仿宋" w:eastAsia="仿宋" w:cs="仿宋"/>
          <w:color w:val="auto"/>
          <w:lang w:eastAsia="zh-CN"/>
        </w:rPr>
      </w:pPr>
      <w:r>
        <w:rPr>
          <w:rFonts w:hint="eastAsia" w:ascii="仿宋" w:hAnsi="仿宋" w:eastAsia="仿宋" w:cs="仿宋"/>
          <w:color w:val="auto"/>
          <w:sz w:val="24"/>
          <w:szCs w:val="24"/>
        </w:rPr>
        <w:t xml:space="preserve">采购项目名称：</w:t>
      </w:r>
      <w:r>
        <w:rPr>
          <w:rFonts w:hint="eastAsia" w:ascii="仿宋" w:hAnsi="仿宋" w:eastAsia="仿宋" w:cs="仿宋"/>
          <w:color w:val="auto"/>
          <w:sz w:val="24"/>
          <w:szCs w:val="24"/>
          <w:highlight w:val="none"/>
          <w:lang w:eastAsia="zh-CN"/>
        </w:rPr>
        <w:t xml:space="preserve">宿迁幼儿师范高等专科学校泽园一、二、三宿舍公寓化维修改造工程</w:t>
      </w:r>
      <w:r/>
    </w:p>
    <w:tbl>
      <w:tblPr>
        <w:tblStyle w:val="697"/>
        <w:tblpPr w:horzAnchor="page" w:tblpX="1568" w:vertAnchor="text" w:tblpY="29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54"/>
        <w:gridCol w:w="4545"/>
      </w:tblGrid>
      <w:tr>
        <w:trPr>
          <w:trHeight w:val="976"/>
        </w:trPr>
        <w:tc>
          <w:tcPr>
            <w:tcW w:w="3654" w:type="dxa"/>
            <w:vAlign w:val="center"/>
            <w:textDirection w:val="lrTb"/>
            <w:noWrap w:val="false"/>
          </w:tcPr>
          <w:p>
            <w:pPr>
              <w:pStyle w:val="1294"/>
              <w:jc w:val="center"/>
              <w:spacing w:line="360" w:lineRule="auto"/>
              <w:widowControl w:val="off"/>
              <w:rPr>
                <w:rFonts w:hint="eastAsia" w:ascii="仿宋" w:hAnsi="仿宋" w:eastAsia="仿宋" w:cs="仿宋"/>
                <w:color w:val="auto"/>
                <w:spacing w:val="420"/>
                <w:lang w:val="en-US" w:eastAsia="zh-CN"/>
              </w:rPr>
            </w:pPr>
            <w:r>
              <w:rPr>
                <w:rFonts w:hint="eastAsia" w:ascii="仿宋" w:hAnsi="仿宋" w:eastAsia="仿宋" w:cs="仿宋"/>
                <w:color w:val="auto"/>
                <w:spacing w:val="420"/>
                <w:lang w:val="en-US" w:eastAsia="zh-CN"/>
              </w:rPr>
            </w:r>
            <w:r/>
          </w:p>
          <w:p>
            <w:pPr>
              <w:pStyle w:val="1294"/>
              <w:jc w:val="center"/>
              <w:spacing w:line="360" w:lineRule="auto"/>
              <w:widowControl w:val="off"/>
              <w:rPr>
                <w:rFonts w:hint="eastAsia" w:ascii="仿宋" w:hAnsi="仿宋" w:eastAsia="仿宋" w:cs="仿宋"/>
                <w:color w:val="auto"/>
                <w:lang w:val="en-US" w:eastAsia="zh-CN"/>
              </w:rPr>
            </w:pPr>
            <w:r>
              <w:rPr>
                <w:rFonts w:hint="eastAsia" w:ascii="仿宋" w:hAnsi="仿宋" w:eastAsia="仿宋" w:cs="仿宋"/>
                <w:color w:val="auto"/>
                <w:spacing w:val="420"/>
                <w:lang w:val="en-US" w:eastAsia="zh-CN"/>
              </w:rPr>
              <w:t xml:space="preserve">标</w:t>
            </w:r>
            <w:r>
              <w:rPr>
                <w:rFonts w:hint="eastAsia" w:ascii="仿宋" w:hAnsi="仿宋" w:eastAsia="仿宋" w:cs="仿宋"/>
                <w:color w:val="auto"/>
                <w:spacing w:val="0"/>
                <w:lang w:val="en-US" w:eastAsia="zh-CN"/>
              </w:rPr>
              <w:t xml:space="preserve">题</w:t>
            </w:r>
            <w:r/>
          </w:p>
        </w:tc>
        <w:tc>
          <w:tcPr>
            <w:tcW w:w="4545" w:type="dxa"/>
            <w:vAlign w:val="center"/>
            <w:textDirection w:val="lrTb"/>
            <w:noWrap w:val="false"/>
          </w:tcPr>
          <w:p>
            <w:pPr>
              <w:pStyle w:val="1294"/>
              <w:jc w:val="center"/>
              <w:spacing w:line="360"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r>
            <w:r/>
          </w:p>
        </w:tc>
      </w:tr>
      <w:tr>
        <w:trPr>
          <w:trHeight w:val="976"/>
        </w:trPr>
        <w:tc>
          <w:tcPr>
            <w:tcW w:w="3654" w:type="dxa"/>
            <w:vAlign w:val="center"/>
            <w:textDirection w:val="lrTb"/>
            <w:noWrap w:val="false"/>
          </w:tcPr>
          <w:p>
            <w:pPr>
              <w:pStyle w:val="1294"/>
              <w:jc w:val="center"/>
              <w:spacing w:line="360" w:lineRule="auto"/>
              <w:widowControl w:val="off"/>
              <w:rPr>
                <w:rFonts w:hint="eastAsia" w:ascii="仿宋" w:hAnsi="仿宋" w:eastAsia="仿宋" w:cs="仿宋"/>
                <w:color w:val="auto"/>
                <w:spacing w:val="420"/>
                <w:lang w:val="en-US" w:eastAsia="zh-CN"/>
              </w:rPr>
            </w:pPr>
            <w:r>
              <w:rPr>
                <w:rFonts w:hint="eastAsia" w:ascii="仿宋" w:hAnsi="仿宋" w:eastAsia="仿宋" w:cs="仿宋"/>
                <w:color w:val="auto"/>
                <w:spacing w:val="420"/>
                <w:lang w:val="en-US" w:eastAsia="zh-CN"/>
              </w:rPr>
            </w:r>
            <w:r/>
          </w:p>
          <w:p>
            <w:pPr>
              <w:pStyle w:val="1294"/>
              <w:jc w:val="center"/>
              <w:spacing w:line="360" w:lineRule="auto"/>
              <w:widowControl w:val="off"/>
              <w:rPr>
                <w:rFonts w:hint="eastAsia" w:ascii="仿宋" w:hAnsi="仿宋" w:eastAsia="仿宋" w:cs="仿宋"/>
                <w:color w:val="auto"/>
                <w:lang w:val="en-US" w:eastAsia="zh-CN"/>
              </w:rPr>
            </w:pPr>
            <w:r>
              <w:rPr>
                <w:rFonts w:hint="eastAsia" w:ascii="仿宋" w:hAnsi="仿宋" w:eastAsia="仿宋" w:cs="仿宋"/>
                <w:color w:val="auto"/>
                <w:spacing w:val="420"/>
                <w:lang w:val="en-US" w:eastAsia="zh-CN"/>
              </w:rPr>
              <w:t xml:space="preserve">报</w:t>
            </w:r>
            <w:r>
              <w:rPr>
                <w:rFonts w:hint="eastAsia" w:ascii="仿宋" w:hAnsi="仿宋" w:eastAsia="仿宋" w:cs="仿宋"/>
                <w:color w:val="auto"/>
                <w:spacing w:val="0"/>
                <w:lang w:val="en-US" w:eastAsia="zh-CN"/>
              </w:rPr>
              <w:t xml:space="preserve">价</w:t>
            </w:r>
            <w:r/>
          </w:p>
        </w:tc>
        <w:tc>
          <w:tcPr>
            <w:tcW w:w="4545" w:type="dxa"/>
            <w:vAlign w:val="center"/>
            <w:textDirection w:val="lrTb"/>
            <w:noWrap w:val="false"/>
          </w:tcPr>
          <w:p>
            <w:pPr>
              <w:pStyle w:val="1294"/>
              <w:jc w:val="center"/>
              <w:spacing w:line="360" w:lineRule="auto"/>
              <w:widowControl w:val="off"/>
              <w:rPr>
                <w:rFonts w:hint="eastAsia" w:ascii="仿宋" w:hAnsi="仿宋" w:eastAsia="仿宋" w:cs="仿宋"/>
                <w:color w:val="auto"/>
                <w:lang w:val="en-US" w:eastAsia="zh-CN"/>
              </w:rPr>
            </w:pPr>
            <w:r>
              <w:rPr>
                <w:rFonts w:hint="eastAsia" w:ascii="仿宋" w:hAnsi="仿宋" w:eastAsia="仿宋" w:cs="仿宋"/>
                <w:bCs/>
                <w:iCs/>
                <w:color w:val="auto"/>
                <w:lang w:val="en-US" w:eastAsia="zh-CN"/>
              </w:rPr>
              <w:t xml:space="preserve">元</w:t>
            </w:r>
            <w:r/>
          </w:p>
        </w:tc>
      </w:tr>
      <w:tr>
        <w:trPr>
          <w:trHeight w:val="976"/>
        </w:trPr>
        <w:tc>
          <w:tcPr>
            <w:tcW w:w="3654" w:type="dxa"/>
            <w:vAlign w:val="center"/>
            <w:textDirection w:val="lrTb"/>
            <w:noWrap w:val="false"/>
          </w:tcPr>
          <w:p>
            <w:pPr>
              <w:pStyle w:val="1294"/>
              <w:jc w:val="center"/>
              <w:spacing w:line="360" w:lineRule="auto"/>
              <w:widowControl w:val="off"/>
              <w:rPr>
                <w:rFonts w:hint="eastAsia" w:ascii="仿宋" w:hAnsi="仿宋" w:eastAsia="仿宋" w:cs="仿宋"/>
                <w:color w:val="auto"/>
                <w:spacing w:val="420"/>
                <w:lang w:val="en-US" w:eastAsia="zh-CN"/>
              </w:rPr>
            </w:pPr>
            <w:r>
              <w:rPr>
                <w:rFonts w:hint="eastAsia" w:ascii="仿宋" w:hAnsi="仿宋" w:eastAsia="仿宋" w:cs="仿宋"/>
                <w:color w:val="auto"/>
                <w:spacing w:val="420"/>
                <w:lang w:val="en-US" w:eastAsia="zh-CN"/>
              </w:rPr>
            </w:r>
            <w:r/>
          </w:p>
          <w:p>
            <w:pPr>
              <w:pStyle w:val="1294"/>
              <w:jc w:val="center"/>
              <w:spacing w:line="360" w:lineRule="auto"/>
              <w:widowControl w:val="off"/>
              <w:rPr>
                <w:rFonts w:hint="eastAsia" w:ascii="仿宋" w:hAnsi="仿宋" w:eastAsia="仿宋" w:cs="仿宋"/>
                <w:color w:val="auto"/>
                <w:lang w:val="en-US" w:eastAsia="zh-CN"/>
              </w:rPr>
            </w:pPr>
            <w:r>
              <w:rPr>
                <w:rFonts w:hint="eastAsia" w:ascii="仿宋" w:hAnsi="仿宋" w:eastAsia="仿宋" w:cs="仿宋"/>
                <w:color w:val="auto"/>
                <w:spacing w:val="420"/>
                <w:lang w:val="en-US" w:eastAsia="zh-CN"/>
              </w:rPr>
              <w:t xml:space="preserve">工</w:t>
            </w:r>
            <w:r>
              <w:rPr>
                <w:rFonts w:hint="eastAsia" w:ascii="仿宋" w:hAnsi="仿宋" w:eastAsia="仿宋" w:cs="仿宋"/>
                <w:color w:val="auto"/>
                <w:spacing w:val="0"/>
                <w:lang w:val="en-US" w:eastAsia="zh-CN"/>
              </w:rPr>
              <w:t xml:space="preserve">期</w:t>
            </w:r>
            <w:r/>
          </w:p>
        </w:tc>
        <w:tc>
          <w:tcPr>
            <w:tcW w:w="4545" w:type="dxa"/>
            <w:vAlign w:val="center"/>
            <w:textDirection w:val="lrTb"/>
            <w:noWrap w:val="false"/>
          </w:tcPr>
          <w:p>
            <w:pPr>
              <w:pStyle w:val="1294"/>
              <w:jc w:val="center"/>
              <w:spacing w:line="360"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r>
            <w:r/>
          </w:p>
        </w:tc>
      </w:tr>
      <w:tr>
        <w:trPr>
          <w:trHeight w:val="976"/>
        </w:trPr>
        <w:tc>
          <w:tcPr>
            <w:tcW w:w="3654" w:type="dxa"/>
            <w:vAlign w:val="center"/>
            <w:textDirection w:val="lrTb"/>
            <w:noWrap w:val="false"/>
          </w:tcPr>
          <w:p>
            <w:pPr>
              <w:pStyle w:val="1294"/>
              <w:jc w:val="center"/>
              <w:spacing w:line="360" w:lineRule="auto"/>
              <w:widowControl w:val="off"/>
              <w:rPr>
                <w:rFonts w:hint="eastAsia" w:ascii="仿宋" w:hAnsi="仿宋" w:eastAsia="仿宋" w:cs="仿宋"/>
                <w:color w:val="auto"/>
                <w:spacing w:val="420"/>
                <w:lang w:val="en-US" w:eastAsia="zh-CN"/>
              </w:rPr>
            </w:pPr>
            <w:r>
              <w:rPr>
                <w:rFonts w:hint="eastAsia" w:ascii="仿宋" w:hAnsi="仿宋" w:eastAsia="仿宋" w:cs="仿宋"/>
                <w:color w:val="auto"/>
                <w:spacing w:val="420"/>
                <w:lang w:val="en-US" w:eastAsia="zh-CN"/>
              </w:rPr>
            </w:r>
            <w:r/>
          </w:p>
          <w:p>
            <w:pPr>
              <w:pStyle w:val="1294"/>
              <w:jc w:val="center"/>
              <w:spacing w:line="360" w:lineRule="auto"/>
              <w:widowControl w:val="off"/>
              <w:rPr>
                <w:rFonts w:hint="eastAsia" w:ascii="仿宋" w:hAnsi="仿宋" w:eastAsia="仿宋" w:cs="仿宋"/>
                <w:color w:val="auto"/>
                <w:lang w:val="en-US" w:eastAsia="zh-CN"/>
              </w:rPr>
            </w:pPr>
            <w:r>
              <w:rPr>
                <w:rFonts w:hint="eastAsia" w:ascii="仿宋" w:hAnsi="仿宋" w:eastAsia="仿宋" w:cs="仿宋"/>
                <w:color w:val="auto"/>
                <w:spacing w:val="420"/>
                <w:lang w:val="en-US" w:eastAsia="zh-CN"/>
              </w:rPr>
              <w:t xml:space="preserve">地</w:t>
            </w:r>
            <w:r>
              <w:rPr>
                <w:rFonts w:hint="eastAsia" w:ascii="仿宋" w:hAnsi="仿宋" w:eastAsia="仿宋" w:cs="仿宋"/>
                <w:color w:val="auto"/>
                <w:spacing w:val="0"/>
                <w:lang w:val="en-US" w:eastAsia="zh-CN"/>
              </w:rPr>
              <w:t xml:space="preserve">点</w:t>
            </w:r>
            <w:r/>
          </w:p>
        </w:tc>
        <w:tc>
          <w:tcPr>
            <w:tcW w:w="4545" w:type="dxa"/>
            <w:vAlign w:val="center"/>
            <w:textDirection w:val="lrTb"/>
            <w:noWrap w:val="false"/>
          </w:tcPr>
          <w:p>
            <w:pPr>
              <w:pStyle w:val="1294"/>
              <w:jc w:val="center"/>
              <w:spacing w:line="360"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r>
            <w:r/>
          </w:p>
        </w:tc>
      </w:tr>
      <w:tr>
        <w:trPr>
          <w:trHeight w:val="976"/>
        </w:trPr>
        <w:tc>
          <w:tcPr>
            <w:tcW w:w="3654" w:type="dxa"/>
            <w:vAlign w:val="center"/>
            <w:textDirection w:val="lrTb"/>
            <w:noWrap w:val="false"/>
          </w:tcPr>
          <w:p>
            <w:pPr>
              <w:pStyle w:val="1294"/>
              <w:jc w:val="center"/>
              <w:spacing w:line="360"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r>
            <w:r/>
          </w:p>
          <w:p>
            <w:pPr>
              <w:pStyle w:val="1294"/>
              <w:jc w:val="center"/>
              <w:spacing w:line="360"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质量要求</w:t>
            </w:r>
            <w:r/>
          </w:p>
        </w:tc>
        <w:tc>
          <w:tcPr>
            <w:tcW w:w="4545" w:type="dxa"/>
            <w:vAlign w:val="center"/>
            <w:textDirection w:val="lrTb"/>
            <w:noWrap w:val="false"/>
          </w:tcPr>
          <w:p>
            <w:pPr>
              <w:pStyle w:val="1294"/>
              <w:jc w:val="center"/>
              <w:spacing w:line="360"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r>
            <w:r/>
          </w:p>
        </w:tc>
      </w:tr>
      <w:tr>
        <w:trPr>
          <w:trHeight w:val="987"/>
        </w:trPr>
        <w:tc>
          <w:tcPr>
            <w:tcW w:w="3654" w:type="dxa"/>
            <w:vAlign w:val="center"/>
            <w:textDirection w:val="lrTb"/>
            <w:noWrap w:val="false"/>
          </w:tcPr>
          <w:p>
            <w:pPr>
              <w:pStyle w:val="1294"/>
              <w:jc w:val="center"/>
              <w:spacing w:line="360" w:lineRule="auto"/>
              <w:widowControl w:val="off"/>
              <w:rPr>
                <w:rFonts w:hint="eastAsia" w:ascii="仿宋" w:hAnsi="仿宋" w:eastAsia="仿宋" w:cs="仿宋"/>
                <w:color w:val="auto"/>
                <w:spacing w:val="420"/>
                <w:lang w:val="en-US" w:eastAsia="zh-CN"/>
              </w:rPr>
            </w:pPr>
            <w:r>
              <w:rPr>
                <w:rFonts w:hint="eastAsia" w:ascii="仿宋" w:hAnsi="仿宋" w:eastAsia="仿宋" w:cs="仿宋"/>
                <w:color w:val="auto"/>
                <w:spacing w:val="420"/>
                <w:lang w:val="en-US" w:eastAsia="zh-CN"/>
              </w:rPr>
            </w:r>
            <w:r/>
          </w:p>
          <w:p>
            <w:pPr>
              <w:pStyle w:val="1294"/>
              <w:jc w:val="center"/>
              <w:spacing w:line="360" w:lineRule="auto"/>
              <w:widowControl w:val="off"/>
              <w:rPr>
                <w:rFonts w:hint="eastAsia" w:ascii="仿宋" w:hAnsi="仿宋" w:eastAsia="仿宋" w:cs="仿宋"/>
                <w:color w:val="auto"/>
                <w:lang w:val="en-US" w:eastAsia="zh-CN"/>
              </w:rPr>
            </w:pPr>
            <w:r>
              <w:rPr>
                <w:rFonts w:hint="eastAsia" w:ascii="仿宋" w:hAnsi="仿宋" w:eastAsia="仿宋" w:cs="仿宋"/>
                <w:color w:val="auto"/>
                <w:spacing w:val="420"/>
                <w:lang w:val="en-US" w:eastAsia="zh-CN"/>
              </w:rPr>
              <w:t xml:space="preserve">备</w:t>
            </w:r>
            <w:r>
              <w:rPr>
                <w:rFonts w:hint="eastAsia" w:ascii="仿宋" w:hAnsi="仿宋" w:eastAsia="仿宋" w:cs="仿宋"/>
                <w:color w:val="auto"/>
                <w:spacing w:val="0"/>
                <w:lang w:val="en-US" w:eastAsia="zh-CN"/>
              </w:rPr>
              <w:t xml:space="preserve">注</w:t>
            </w:r>
            <w:r/>
          </w:p>
        </w:tc>
        <w:tc>
          <w:tcPr>
            <w:tcW w:w="4545" w:type="dxa"/>
            <w:vAlign w:val="center"/>
            <w:textDirection w:val="lrTb"/>
            <w:noWrap w:val="false"/>
          </w:tcPr>
          <w:p>
            <w:pPr>
              <w:pStyle w:val="1294"/>
              <w:jc w:val="center"/>
              <w:spacing w:line="360" w:lineRule="auto"/>
              <w:widowControl w:val="off"/>
              <w:rPr>
                <w:rFonts w:hint="eastAsia" w:ascii="仿宋" w:hAnsi="仿宋" w:eastAsia="仿宋" w:cs="仿宋"/>
                <w:color w:val="auto"/>
                <w:lang w:val="en-US" w:eastAsia="zh-CN"/>
              </w:rPr>
            </w:pPr>
            <w:r>
              <w:rPr>
                <w:rFonts w:hint="eastAsia" w:ascii="仿宋" w:hAnsi="仿宋" w:eastAsia="仿宋" w:cs="仿宋"/>
                <w:color w:val="auto"/>
                <w:lang w:val="en-US" w:eastAsia="zh-CN"/>
              </w:rPr>
            </w:r>
            <w:r/>
          </w:p>
        </w:tc>
      </w:tr>
    </w:tbl>
    <w:p>
      <w:pPr>
        <w:pStyle w:val="1294"/>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 </w:t>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br w:type="page" w:clear="all"/>
      </w:r>
      <w:r/>
    </w:p>
    <w:p>
      <w:pPr>
        <w:jc w:val="left"/>
        <w:spacing w:line="460" w:lineRule="exact"/>
        <w:rPr>
          <w:rFonts w:hint="eastAsia" w:ascii="仿宋" w:hAnsi="仿宋" w:eastAsia="仿宋" w:cs="仿宋"/>
          <w:b/>
          <w:bCs/>
          <w:color w:val="auto"/>
          <w:sz w:val="32"/>
          <w:szCs w:val="32"/>
          <w:highlight w:val="none"/>
        </w:rPr>
        <w:outlineLvl w:val="2"/>
      </w:pPr>
      <w:r/>
      <w:bookmarkStart w:id="434" w:name="_Toc123"/>
      <w:r>
        <w:rPr>
          <w:rStyle w:val="696"/>
          <w:rFonts w:hint="eastAsia" w:ascii="仿宋" w:hAnsi="仿宋" w:eastAsia="仿宋" w:cs="仿宋"/>
          <w:b/>
          <w:color w:val="auto"/>
          <w:sz w:val="28"/>
          <w:szCs w:val="28"/>
          <w:highlight w:val="none"/>
          <w:lang w:val="en-US" w:eastAsia="zh-CN" w:bidi="ar-SA"/>
        </w:rPr>
        <w:t xml:space="preserve">七、已标价的工程量清单</w:t>
      </w:r>
      <w:bookmarkEnd w:id="434"/>
      <w:r/>
      <w:r/>
    </w:p>
    <w:p>
      <w:pPr>
        <w:keepLines w:val="0"/>
        <w:keepNext w:val="0"/>
        <w:pageBreakBefore w:val="0"/>
        <w:spacing w:line="560" w:lineRule="exact"/>
        <w:widowControl w:val="off"/>
        <w:rPr>
          <w:rFonts w:hint="eastAsia" w:ascii="仿宋" w:hAnsi="仿宋" w:eastAsia="仿宋" w:cs="仿宋"/>
          <w:b w:val="0"/>
          <w:bCs w:val="0"/>
          <w:color w:val="auto"/>
          <w:sz w:val="24"/>
          <w:szCs w:val="24"/>
          <w:highlight w:val="none"/>
        </w:rPr>
        <w:outlineLvl w:val="1"/>
      </w:pPr>
      <w:r/>
      <w:bookmarkStart w:id="435" w:name="_Toc124"/>
      <w:r>
        <w:rPr>
          <w:rFonts w:hint="eastAsia" w:ascii="仿宋" w:hAnsi="仿宋" w:eastAsia="仿宋" w:cs="仿宋"/>
          <w:b w:val="0"/>
          <w:bCs w:val="0"/>
          <w:color w:val="auto"/>
          <w:sz w:val="24"/>
          <w:szCs w:val="24"/>
          <w:highlight w:val="none"/>
        </w:rPr>
        <w:t xml:space="preserve">一、投标报价的编制应符合下列规定：</w:t>
      </w:r>
      <w:bookmarkEnd w:id="435"/>
      <w:r/>
      <w:r/>
    </w:p>
    <w:p>
      <w:pPr>
        <w:ind w:firstLine="240"/>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  使用表格：</w:t>
      </w:r>
      <w:r/>
    </w:p>
    <w:p>
      <w:pPr>
        <w:ind w:firstLine="240"/>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投标报价使用的表格须符合GB50500-2013规定要求，包括：封—3、扉—3、表—01、表—02、表—03、表—04、表—08、表—09、表—11、表—12（含表—12—1～表—12—5）、表—13、表—16、表—20、表—21或表—22。</w:t>
      </w:r>
      <w:r/>
    </w:p>
    <w:p>
      <w:pPr>
        <w:ind w:firstLine="240"/>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  2  封面应按规定的内容填写、签字、盖章。</w:t>
      </w:r>
      <w:r/>
    </w:p>
    <w:p>
      <w:pPr>
        <w:ind w:firstLine="240"/>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  3  总说明应按下列内容填写：</w:t>
      </w:r>
      <w:r/>
    </w:p>
    <w:p>
      <w:pPr>
        <w:ind w:firstLine="240"/>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  1）工程概况：建设规模、工程特征、计划工期、合同工期、实际工期、施工现场及变化情况、施工组织设计的特点、自然地理条件、环境保护要求等。</w:t>
      </w:r>
      <w:r/>
    </w:p>
    <w:p>
      <w:pPr>
        <w:ind w:firstLine="240"/>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  2）编制依据等。</w:t>
      </w:r>
      <w:r/>
    </w:p>
    <w:p>
      <w:pPr>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二、供应商应附综合单价分析表。</w:t>
      </w:r>
      <w:r/>
    </w:p>
    <w:p>
      <w:pPr>
        <w:ind w:firstLine="240"/>
        <w:keepLines w:val="0"/>
        <w:keepNext w:val="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br w:type="page" w:clear="all"/>
      </w:r>
      <w:r/>
    </w:p>
    <w:p>
      <w:pPr>
        <w:pStyle w:val="1292"/>
        <w:ind w:left="2" w:firstLine="358"/>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697"/>
        <w:tblW w:w="9308" w:type="dxa"/>
        <w:jc w:val="center"/>
        <w:tblLayout w:type="autofit"/>
        <w:tblCellMar>
          <w:left w:w="108" w:type="dxa"/>
          <w:top w:w="0" w:type="dxa"/>
          <w:right w:w="108" w:type="dxa"/>
          <w:bottom w:w="0" w:type="dxa"/>
        </w:tblCellMar>
        <w:tblLook w:val="04A0" w:firstRow="1" w:lastRow="0" w:firstColumn="1" w:lastColumn="0" w:noHBand="0" w:noVBand="1"/>
      </w:tblPr>
      <w:tblGrid>
        <w:gridCol w:w="2371"/>
        <w:gridCol w:w="251"/>
        <w:gridCol w:w="1831"/>
        <w:gridCol w:w="3454"/>
        <w:gridCol w:w="124"/>
        <w:gridCol w:w="1277"/>
      </w:tblGrid>
      <w:tr>
        <w:trPr>
          <w:jc w:val="center"/>
          <w:trHeight w:val="665"/>
        </w:trPr>
        <w:tc>
          <w:tcPr>
            <w:gridSpan w:val="2"/>
            <w:shd w:val="clear" w:color="auto" w:fill="ffffff"/>
            <w:tcW w:w="2622" w:type="dxa"/>
            <w:vAlign w:val="center"/>
            <w:textDirection w:val="lrTb"/>
            <w:noWrap w:val="false"/>
          </w:tcPr>
          <w:p>
            <w:pPr>
              <w:pStyle w:val="1292"/>
              <w:jc w:val="left"/>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gridSpan w:val="2"/>
            <w:shd w:val="clear" w:color="auto" w:fill="ffffff"/>
            <w:tcBorders>
              <w:top w:val="none" w:color="000000" w:sz="4" w:space="0"/>
              <w:left w:val="none" w:color="000000" w:sz="4" w:space="0"/>
              <w:bottom w:val="single" w:color="000000" w:sz="4" w:space="0"/>
              <w:right w:val="none" w:color="000000" w:sz="4" w:space="0"/>
            </w:tcBorders>
            <w:tcW w:w="5285" w:type="dxa"/>
            <w:vAlign w:val="center"/>
            <w:textDirection w:val="lrTb"/>
            <w:noWrap w:val="false"/>
          </w:tcPr>
          <w:p>
            <w:pPr>
              <w:pStyle w:val="1292"/>
              <w:jc w:val="center"/>
              <w:widowControl/>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　</w:t>
            </w:r>
            <w:r/>
          </w:p>
        </w:tc>
        <w:tc>
          <w:tcPr>
            <w:gridSpan w:val="2"/>
            <w:shd w:val="clear" w:color="auto" w:fill="ffffff"/>
            <w:tcW w:w="1401" w:type="dxa"/>
            <w:vAlign w:val="center"/>
            <w:textDirection w:val="lrTb"/>
            <w:noWrap w:val="false"/>
          </w:tcPr>
          <w:p>
            <w:pPr>
              <w:pStyle w:val="1292"/>
              <w:jc w:val="left"/>
              <w:widowControl/>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工程</w:t>
            </w:r>
            <w:r/>
          </w:p>
        </w:tc>
      </w:tr>
      <w:tr>
        <w:trPr>
          <w:jc w:val="center"/>
          <w:trHeight w:val="2421"/>
        </w:trPr>
        <w:tc>
          <w:tcPr>
            <w:gridSpan w:val="6"/>
            <w:shd w:val="clear" w:color="auto" w:fill="ffffff"/>
            <w:tcBorders>
              <w:top w:val="none" w:color="000000" w:sz="4" w:space="0"/>
              <w:left w:val="none" w:color="000000" w:sz="4" w:space="0"/>
              <w:bottom w:val="none" w:color="000000" w:sz="4" w:space="0"/>
              <w:right w:val="none" w:color="000000" w:sz="4" w:space="0"/>
            </w:tcBorders>
            <w:tcW w:w="9308" w:type="dxa"/>
            <w:vAlign w:val="bottom"/>
            <w:textDirection w:val="lrTb"/>
            <w:noWrap w:val="false"/>
          </w:tcPr>
          <w:p>
            <w:pPr>
              <w:pStyle w:val="1292"/>
              <w:jc w:val="center"/>
              <w:widowControl/>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t xml:space="preserve">投标总价</w:t>
            </w:r>
            <w:r/>
          </w:p>
        </w:tc>
      </w:tr>
      <w:tr>
        <w:trPr>
          <w:jc w:val="center"/>
          <w:trHeight w:val="2125"/>
        </w:trPr>
        <w:tc>
          <w:tcPr>
            <w:shd w:val="clear" w:color="auto" w:fill="ffffff"/>
            <w:tcW w:w="2371" w:type="dxa"/>
            <w:vAlign w:val="bottom"/>
            <w:textDirection w:val="lrTb"/>
            <w:noWrap w:val="false"/>
          </w:tcPr>
          <w:p>
            <w:pPr>
              <w:pStyle w:val="1292"/>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tc>
        <w:tc>
          <w:tcPr>
            <w:gridSpan w:val="2"/>
            <w:shd w:val="clear" w:color="auto" w:fill="ffffff"/>
            <w:tcW w:w="2082" w:type="dxa"/>
            <w:vAlign w:val="bottom"/>
            <w:textDirection w:val="lrTb"/>
            <w:noWrap w:val="false"/>
          </w:tcPr>
          <w:p>
            <w:pPr>
              <w:pStyle w:val="1292"/>
              <w:jc w:val="righ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  标  人：</w:t>
            </w:r>
            <w:r/>
          </w:p>
        </w:tc>
        <w:tc>
          <w:tcPr>
            <w:gridSpan w:val="2"/>
            <w:shd w:val="clear" w:color="auto" w:fill="ffffff"/>
            <w:tcBorders>
              <w:top w:val="none" w:color="000000" w:sz="4" w:space="0"/>
              <w:left w:val="none" w:color="000000" w:sz="4" w:space="0"/>
              <w:bottom w:val="single" w:color="000000" w:sz="4" w:space="0"/>
              <w:right w:val="none" w:color="000000" w:sz="4" w:space="0"/>
            </w:tcBorders>
            <w:tcW w:w="3578" w:type="dxa"/>
            <w:vAlign w:val="bottom"/>
            <w:textDirection w:val="lrTb"/>
            <w:noWrap w:val="false"/>
          </w:tcPr>
          <w:p>
            <w:pPr>
              <w:pStyle w:val="1292"/>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tc>
        <w:tc>
          <w:tcPr>
            <w:shd w:val="clear" w:color="auto" w:fill="ffffff"/>
            <w:tcW w:w="1277" w:type="dxa"/>
            <w:vAlign w:val="bottom"/>
            <w:textDirection w:val="lrTb"/>
            <w:noWrap w:val="false"/>
          </w:tcPr>
          <w:p>
            <w:pPr>
              <w:pStyle w:val="1292"/>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tc>
      </w:tr>
      <w:tr>
        <w:trPr>
          <w:cantSplit/>
          <w:jc w:val="center"/>
          <w:trHeight w:val="462"/>
        </w:trPr>
        <w:tc>
          <w:tcPr>
            <w:gridSpan w:val="3"/>
            <w:shd w:val="clear" w:color="auto" w:fill="ffffff"/>
            <w:tcW w:w="4453" w:type="dxa"/>
            <w:vAlign w:val="bottom"/>
            <w:vMerge w:val="restart"/>
            <w:textDirection w:val="lrTb"/>
            <w:noWrap w:val="false"/>
          </w:tcPr>
          <w:p>
            <w:pPr>
              <w:pStyle w:val="1292"/>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tc>
        <w:tc>
          <w:tcPr>
            <w:gridSpan w:val="2"/>
            <w:shd w:val="clear" w:color="auto" w:fill="ffffff"/>
            <w:tcBorders>
              <w:top w:val="single" w:color="000000" w:sz="4" w:space="0"/>
              <w:left w:val="none" w:color="000000" w:sz="4" w:space="0"/>
              <w:bottom w:val="none" w:color="000000" w:sz="4" w:space="0"/>
              <w:right w:val="none" w:color="000000" w:sz="4" w:space="0"/>
            </w:tcBorders>
            <w:tcW w:w="3578" w:type="dxa"/>
            <w:vAlign w:val="bottom"/>
            <w:textDirection w:val="lrTb"/>
            <w:noWrap w:val="false"/>
          </w:tcPr>
          <w:p>
            <w:pPr>
              <w:pStyle w:val="1292"/>
              <w:jc w:val="center"/>
              <w:widowControl/>
              <w:rPr>
                <w:rFonts w:hint="eastAsia" w:ascii="仿宋" w:hAnsi="仿宋" w:eastAsia="仿宋" w:cs="仿宋"/>
                <w:color w:val="auto"/>
                <w:sz w:val="20"/>
                <w:highlight w:val="none"/>
              </w:rPr>
            </w:pPr>
            <w:r>
              <w:rPr>
                <w:rFonts w:hint="eastAsia" w:ascii="仿宋" w:hAnsi="仿宋" w:eastAsia="仿宋" w:cs="仿宋"/>
                <w:color w:val="auto"/>
                <w:sz w:val="20"/>
                <w:highlight w:val="none"/>
                <w:lang w:eastAsia="zh-CN"/>
              </w:rPr>
              <w:t xml:space="preserve">（</w:t>
            </w:r>
            <w:r>
              <w:rPr>
                <w:rFonts w:hint="eastAsia" w:ascii="仿宋" w:hAnsi="仿宋" w:eastAsia="仿宋" w:cs="仿宋"/>
                <w:color w:val="auto"/>
                <w:sz w:val="20"/>
                <w:highlight w:val="none"/>
              </w:rPr>
              <w:t xml:space="preserve">单位盖章</w:t>
            </w:r>
            <w:r>
              <w:rPr>
                <w:rFonts w:hint="eastAsia" w:ascii="仿宋" w:hAnsi="仿宋" w:eastAsia="仿宋" w:cs="仿宋"/>
                <w:color w:val="auto"/>
                <w:sz w:val="20"/>
                <w:highlight w:val="none"/>
                <w:lang w:eastAsia="zh-CN"/>
              </w:rPr>
              <w:t xml:space="preserve">）</w:t>
            </w:r>
            <w:r/>
          </w:p>
        </w:tc>
        <w:tc>
          <w:tcPr>
            <w:shd w:val="clear" w:color="auto" w:fill="ffffff"/>
            <w:tcW w:w="1277" w:type="dxa"/>
            <w:vAlign w:val="center"/>
            <w:vMerge w:val="restart"/>
            <w:textDirection w:val="lrTb"/>
            <w:noWrap w:val="false"/>
          </w:tcPr>
          <w:p>
            <w:pPr>
              <w:pStyle w:val="1292"/>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r>
      <w:tr>
        <w:trPr>
          <w:cantSplit/>
          <w:jc w:val="center"/>
          <w:trHeight w:val="2955"/>
        </w:trPr>
        <w:tc>
          <w:tcPr>
            <w:gridSpan w:val="3"/>
            <w:shd w:val="clear" w:color="auto" w:fill="auto"/>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pStyle w:val="1292"/>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shd w:val="clear" w:color="auto" w:fill="ffffff"/>
            <w:tcBorders>
              <w:top w:val="none" w:color="000000" w:sz="4" w:space="0"/>
              <w:left w:val="none" w:color="000000" w:sz="4" w:space="0"/>
              <w:bottom w:val="none" w:color="000000" w:sz="4" w:space="0"/>
              <w:right w:val="none" w:color="000000" w:sz="4" w:space="0"/>
            </w:tcBorders>
            <w:tcW w:w="3578" w:type="dxa"/>
            <w:vAlign w:val="bottom"/>
            <w:textDirection w:val="lrTb"/>
            <w:noWrap w:val="false"/>
          </w:tcPr>
          <w:p>
            <w:pPr>
              <w:pStyle w:val="1292"/>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年   月   日</w:t>
            </w:r>
            <w:r/>
          </w:p>
        </w:tc>
        <w:tc>
          <w:tcPr>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pStyle w:val="1292"/>
              <w:jc w:val="left"/>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jc w:val="center"/>
          <w:trHeight w:val="369"/>
        </w:trPr>
        <w:tc>
          <w:tcPr>
            <w:gridSpan w:val="2"/>
            <w:shd w:val="clear" w:color="auto" w:fill="ffffff"/>
            <w:tcBorders>
              <w:top w:val="none" w:color="000000" w:sz="4" w:space="0"/>
              <w:left w:val="none" w:color="000000" w:sz="4" w:space="0"/>
              <w:bottom w:val="none" w:color="000000" w:sz="4" w:space="0"/>
              <w:right w:val="none" w:color="000000" w:sz="4" w:space="0"/>
            </w:tcBorders>
            <w:tcW w:w="2622" w:type="dxa"/>
            <w:vAlign w:val="center"/>
            <w:textDirection w:val="lrTb"/>
            <w:noWrap w:val="false"/>
          </w:tcPr>
          <w:p>
            <w:pPr>
              <w:pStyle w:val="1292"/>
              <w:jc w:val="left"/>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5285" w:type="dxa"/>
            <w:vAlign w:val="center"/>
            <w:textDirection w:val="lrTb"/>
            <w:noWrap w:val="false"/>
          </w:tcPr>
          <w:p>
            <w:pPr>
              <w:pStyle w:val="1292"/>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1401" w:type="dxa"/>
            <w:vAlign w:val="center"/>
            <w:textDirection w:val="lrTb"/>
            <w:noWrap w:val="false"/>
          </w:tcPr>
          <w:p>
            <w:pPr>
              <w:pStyle w:val="1292"/>
              <w:jc w:val="right"/>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封—3</w:t>
            </w:r>
            <w:r/>
          </w:p>
        </w:tc>
      </w:tr>
    </w:tbl>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697"/>
        <w:tblW w:w="9733" w:type="dxa"/>
        <w:jc w:val="center"/>
        <w:tblLayout w:type="autofit"/>
        <w:tblCellMar>
          <w:left w:w="108" w:type="dxa"/>
          <w:top w:w="0" w:type="dxa"/>
          <w:right w:w="108" w:type="dxa"/>
          <w:bottom w:w="0" w:type="dxa"/>
        </w:tblCellMar>
        <w:tblLook w:val="04A0" w:firstRow="1" w:lastRow="0" w:firstColumn="1" w:lastColumn="0" w:noHBand="0" w:noVBand="1"/>
      </w:tblPr>
      <w:tblGrid>
        <w:gridCol w:w="2035"/>
        <w:gridCol w:w="664"/>
        <w:gridCol w:w="964"/>
        <w:gridCol w:w="3620"/>
        <w:gridCol w:w="2450"/>
      </w:tblGrid>
      <w:tr>
        <w:trPr>
          <w:jc w:val="center"/>
          <w:trHeight w:val="1471"/>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center"/>
            <w:textDirection w:val="lrTb"/>
            <w:noWrap w:val="false"/>
          </w:tcPr>
          <w:p>
            <w:pPr>
              <w:pStyle w:val="1292"/>
              <w:jc w:val="center"/>
              <w:widowControl/>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投  标  总  价</w:t>
            </w:r>
            <w:r/>
          </w:p>
        </w:tc>
      </w:tr>
      <w:tr>
        <w:trPr>
          <w:jc w:val="center"/>
          <w:trHeight w:val="1091"/>
        </w:trPr>
        <w:tc>
          <w:tcPr>
            <w:gridSpan w:val="2"/>
            <w:shd w:val="clear" w:color="auto" w:fill="ffffff"/>
            <w:tcW w:w="2699" w:type="dxa"/>
            <w:vAlign w:val="bottom"/>
            <w:textDirection w:val="lrTb"/>
            <w:noWrap w:val="false"/>
          </w:tcPr>
          <w:p>
            <w:pPr>
              <w:pStyle w:val="1292"/>
              <w:jc w:val="lef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招     标    人：</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292"/>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tc>
      </w:tr>
      <w:tr>
        <w:trPr>
          <w:jc w:val="center"/>
          <w:trHeight w:val="1091"/>
        </w:trPr>
        <w:tc>
          <w:tcPr>
            <w:gridSpan w:val="2"/>
            <w:shd w:val="clear" w:color="auto" w:fill="ffffff"/>
            <w:tcW w:w="2699" w:type="dxa"/>
            <w:vAlign w:val="bottom"/>
            <w:textDirection w:val="lrTb"/>
            <w:noWrap w:val="false"/>
          </w:tcPr>
          <w:p>
            <w:pPr>
              <w:pStyle w:val="1292"/>
              <w:jc w:val="lef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工  程   名  称：</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pStyle w:val="1292"/>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tc>
      </w:tr>
      <w:tr>
        <w:trPr>
          <w:jc w:val="center"/>
          <w:trHeight w:val="1091"/>
        </w:trPr>
        <w:tc>
          <w:tcPr>
            <w:gridSpan w:val="2"/>
            <w:shd w:val="clear" w:color="auto" w:fill="ffffff"/>
            <w:tcW w:w="2699" w:type="dxa"/>
            <w:vAlign w:val="bottom"/>
            <w:textDirection w:val="lrTb"/>
            <w:noWrap w:val="false"/>
          </w:tcPr>
          <w:p>
            <w:pPr>
              <w:pStyle w:val="1292"/>
              <w:jc w:val="lef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投标总价（小写）：</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pStyle w:val="1292"/>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tc>
      </w:tr>
      <w:tr>
        <w:trPr>
          <w:jc w:val="center"/>
          <w:trHeight w:val="735"/>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bottom"/>
            <w:textDirection w:val="lrTb"/>
            <w:noWrap w:val="false"/>
          </w:tcPr>
          <w:p>
            <w:pPr>
              <w:pStyle w:val="1292"/>
              <w:jc w:val="lef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        （大写）：</w:t>
            </w:r>
            <w:r/>
          </w:p>
        </w:tc>
      </w:tr>
      <w:tr>
        <w:trPr>
          <w:jc w:val="center"/>
          <w:trHeight w:val="1091"/>
        </w:trPr>
        <w:tc>
          <w:tcPr>
            <w:shd w:val="clear" w:color="auto" w:fill="ffffff"/>
            <w:tcW w:w="2035" w:type="dxa"/>
            <w:vAlign w:val="bottom"/>
            <w:textDirection w:val="lrTb"/>
            <w:noWrap w:val="false"/>
          </w:tcPr>
          <w:p>
            <w:pPr>
              <w:pStyle w:val="1292"/>
              <w:jc w:val="lef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投  标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pStyle w:val="1292"/>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292"/>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tc>
      </w:tr>
      <w:tr>
        <w:trPr>
          <w:jc w:val="center"/>
          <w:trHeight w:val="354"/>
        </w:trPr>
        <w:tc>
          <w:tcPr>
            <w:shd w:val="clear" w:color="auto" w:fill="ffffff"/>
            <w:tcW w:w="2035" w:type="dxa"/>
            <w:vAlign w:val="bottom"/>
            <w:textDirection w:val="lrTb"/>
            <w:noWrap w:val="false"/>
          </w:tcPr>
          <w:p>
            <w:pPr>
              <w:pStyle w:val="1292"/>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tc>
        <w:tc>
          <w:tcPr>
            <w:shd w:val="clear" w:color="auto" w:fill="ffffff"/>
            <w:tcW w:w="664" w:type="dxa"/>
            <w:vAlign w:val="bottom"/>
            <w:textDirection w:val="lrTb"/>
            <w:noWrap w:val="false"/>
          </w:tcPr>
          <w:p>
            <w:pPr>
              <w:pStyle w:val="1292"/>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pStyle w:val="1292"/>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 xml:space="preserve">（</w:t>
            </w:r>
            <w:r>
              <w:rPr>
                <w:rFonts w:hint="eastAsia" w:ascii="仿宋" w:hAnsi="仿宋" w:eastAsia="仿宋" w:cs="仿宋"/>
                <w:color w:val="auto"/>
                <w:sz w:val="18"/>
                <w:szCs w:val="18"/>
                <w:highlight w:val="none"/>
              </w:rPr>
              <w:t xml:space="preserve">单位盖章</w:t>
            </w:r>
            <w:r>
              <w:rPr>
                <w:rFonts w:hint="eastAsia" w:ascii="仿宋" w:hAnsi="仿宋" w:eastAsia="仿宋" w:cs="仿宋"/>
                <w:color w:val="auto"/>
                <w:sz w:val="18"/>
                <w:szCs w:val="18"/>
                <w:highlight w:val="none"/>
                <w:lang w:eastAsia="zh-CN"/>
              </w:rPr>
              <w:t xml:space="preserve">）</w:t>
            </w:r>
            <w:r/>
          </w:p>
        </w:tc>
      </w:tr>
      <w:tr>
        <w:trPr>
          <w:jc w:val="center"/>
          <w:trHeight w:val="1431"/>
        </w:trPr>
        <w:tc>
          <w:tcPr>
            <w:shd w:val="clear" w:color="auto" w:fill="ffffff"/>
            <w:tcW w:w="2035" w:type="dxa"/>
            <w:vAlign w:val="bottom"/>
            <w:textDirection w:val="lrTb"/>
            <w:noWrap w:val="false"/>
          </w:tcPr>
          <w:p>
            <w:pPr>
              <w:pStyle w:val="1292"/>
              <w:jc w:val="left"/>
              <w:widowControl/>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 xml:space="preserve">法定代表人</w:t>
            </w:r>
            <w:r/>
          </w:p>
          <w:p>
            <w:pPr>
              <w:pStyle w:val="1292"/>
              <w:jc w:val="left"/>
              <w:widowControl/>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lang w:eastAsia="zh-CN"/>
              </w:rPr>
            </w:r>
            <w:r/>
          </w:p>
          <w:p>
            <w:pPr>
              <w:pStyle w:val="1292"/>
              <w:jc w:val="lef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或其授权人：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pStyle w:val="1292"/>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292"/>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tc>
      </w:tr>
      <w:tr>
        <w:trPr>
          <w:jc w:val="center"/>
          <w:trHeight w:val="354"/>
        </w:trPr>
        <w:tc>
          <w:tcPr>
            <w:gridSpan w:val="2"/>
            <w:shd w:val="clear" w:color="auto" w:fill="ffffff"/>
            <w:tcW w:w="2699" w:type="dxa"/>
            <w:vAlign w:val="bottom"/>
            <w:textDirection w:val="lrTb"/>
            <w:noWrap w:val="false"/>
          </w:tcPr>
          <w:p>
            <w:pPr>
              <w:pStyle w:val="1292"/>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pStyle w:val="1292"/>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 xml:space="preserve">（</w:t>
            </w:r>
            <w:r>
              <w:rPr>
                <w:rFonts w:hint="eastAsia" w:ascii="仿宋" w:hAnsi="仿宋" w:eastAsia="仿宋" w:cs="仿宋"/>
                <w:color w:val="auto"/>
                <w:sz w:val="18"/>
                <w:szCs w:val="18"/>
                <w:highlight w:val="none"/>
              </w:rPr>
              <w:t xml:space="preserve">签字或盖章</w:t>
            </w:r>
            <w:r>
              <w:rPr>
                <w:rFonts w:hint="eastAsia" w:ascii="仿宋" w:hAnsi="仿宋" w:eastAsia="仿宋" w:cs="仿宋"/>
                <w:color w:val="auto"/>
                <w:sz w:val="18"/>
                <w:szCs w:val="18"/>
                <w:highlight w:val="none"/>
                <w:lang w:eastAsia="zh-CN"/>
              </w:rPr>
              <w:t xml:space="preserve">）</w:t>
            </w:r>
            <w:r/>
          </w:p>
        </w:tc>
      </w:tr>
      <w:tr>
        <w:trPr>
          <w:jc w:val="center"/>
          <w:trHeight w:val="1431"/>
        </w:trPr>
        <w:tc>
          <w:tcPr>
            <w:shd w:val="clear" w:color="auto" w:fill="ffffff"/>
            <w:tcW w:w="2035" w:type="dxa"/>
            <w:vAlign w:val="bottom"/>
            <w:textDirection w:val="lrTb"/>
            <w:noWrap w:val="false"/>
          </w:tcPr>
          <w:p>
            <w:pPr>
              <w:pStyle w:val="1292"/>
              <w:jc w:val="lef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编  制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pStyle w:val="1292"/>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292"/>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tc>
      </w:tr>
      <w:tr>
        <w:trPr>
          <w:jc w:val="center"/>
          <w:trHeight w:val="368"/>
        </w:trPr>
        <w:tc>
          <w:tcPr>
            <w:gridSpan w:val="2"/>
            <w:shd w:val="clear" w:color="auto" w:fill="ffffff"/>
            <w:tcW w:w="2699" w:type="dxa"/>
            <w:vAlign w:val="bottom"/>
            <w:textDirection w:val="lrTb"/>
            <w:noWrap w:val="false"/>
          </w:tcPr>
          <w:p>
            <w:pPr>
              <w:pStyle w:val="1292"/>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pStyle w:val="1292"/>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jc w:val="center"/>
          <w:trHeight w:val="1431"/>
        </w:trPr>
        <w:tc>
          <w:tcPr>
            <w:shd w:val="clear" w:color="auto" w:fill="ffffff"/>
            <w:tcBorders>
              <w:top w:val="none" w:color="000000" w:sz="4" w:space="0"/>
              <w:left w:val="none" w:color="000000" w:sz="4" w:space="0"/>
              <w:bottom w:val="none" w:color="000000" w:sz="4" w:space="0"/>
              <w:right w:val="none" w:color="000000" w:sz="4" w:space="0"/>
            </w:tcBorders>
            <w:tcW w:w="2035" w:type="dxa"/>
            <w:vAlign w:val="bottom"/>
            <w:textDirection w:val="lrTb"/>
            <w:noWrap w:val="false"/>
          </w:tcPr>
          <w:p>
            <w:pPr>
              <w:pStyle w:val="1292"/>
              <w:jc w:val="lef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时     间：</w:t>
            </w:r>
            <w:r/>
          </w:p>
        </w:tc>
        <w:tc>
          <w:tcPr>
            <w:shd w:val="clear" w:color="auto" w:fill="ffffff"/>
            <w:tcBorders>
              <w:top w:val="none" w:color="000000" w:sz="4" w:space="0"/>
              <w:left w:val="none" w:color="000000" w:sz="4" w:space="0"/>
              <w:bottom w:val="none" w:color="000000" w:sz="4" w:space="0"/>
              <w:right w:val="none" w:color="000000" w:sz="4" w:space="0"/>
            </w:tcBorders>
            <w:tcW w:w="664" w:type="dxa"/>
            <w:vAlign w:val="bottom"/>
            <w:textDirection w:val="lrTb"/>
            <w:noWrap w:val="false"/>
          </w:tcPr>
          <w:p>
            <w:pPr>
              <w:pStyle w:val="1292"/>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tc>
        <w:tc>
          <w:tcPr>
            <w:gridSpan w:val="3"/>
            <w:shd w:val="clear" w:color="auto" w:fill="ffffff"/>
            <w:tcBorders>
              <w:top w:val="none" w:color="000000" w:sz="4" w:space="0"/>
              <w:left w:val="none" w:color="000000" w:sz="4" w:space="0"/>
              <w:bottom w:val="none" w:color="000000" w:sz="4" w:space="0"/>
              <w:right w:val="none" w:color="000000" w:sz="4" w:space="0"/>
            </w:tcBorders>
            <w:tcW w:w="7034" w:type="dxa"/>
            <w:vAlign w:val="bottom"/>
            <w:textDirection w:val="lrTb"/>
            <w:noWrap w:val="false"/>
          </w:tcPr>
          <w:p>
            <w:pPr>
              <w:pStyle w:val="1292"/>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年    月    日</w:t>
            </w:r>
            <w:r/>
          </w:p>
        </w:tc>
      </w:tr>
      <w:tr>
        <w:trPr>
          <w:jc w:val="center"/>
          <w:trHeight w:val="283"/>
        </w:trPr>
        <w:tc>
          <w:tcPr>
            <w:gridSpan w:val="3"/>
            <w:shd w:val="clear" w:color="auto" w:fill="ffffff"/>
            <w:tcBorders>
              <w:top w:val="none" w:color="000000" w:sz="4" w:space="0"/>
              <w:left w:val="none" w:color="000000" w:sz="4" w:space="0"/>
              <w:bottom w:val="none" w:color="000000" w:sz="4" w:space="0"/>
              <w:right w:val="none" w:color="000000" w:sz="4" w:space="0"/>
            </w:tcBorders>
            <w:tcW w:w="3663" w:type="dxa"/>
            <w:vAlign w:val="center"/>
            <w:textDirection w:val="lrTb"/>
            <w:noWrap w:val="false"/>
          </w:tcPr>
          <w:p>
            <w:pPr>
              <w:pStyle w:val="1292"/>
              <w:jc w:val="left"/>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3620" w:type="dxa"/>
            <w:vAlign w:val="center"/>
            <w:textDirection w:val="lrTb"/>
            <w:noWrap w:val="false"/>
          </w:tcPr>
          <w:p>
            <w:pPr>
              <w:pStyle w:val="1292"/>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2450" w:type="dxa"/>
            <w:vAlign w:val="center"/>
            <w:textDirection w:val="lrTb"/>
            <w:noWrap w:val="false"/>
          </w:tcPr>
          <w:p>
            <w:pPr>
              <w:pStyle w:val="1292"/>
              <w:jc w:val="right"/>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扉—3</w:t>
            </w:r>
            <w:r/>
          </w:p>
        </w:tc>
      </w:tr>
    </w:tbl>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br w:type="page" w:clear="all"/>
      </w:r>
      <w:r/>
    </w:p>
    <w:p>
      <w:pPr>
        <w:numPr>
          <w:ilvl w:val="0"/>
          <w:numId w:val="0"/>
        </w:numPr>
        <w:keepLines/>
        <w:keepNext/>
        <w:spacing w:before="145" w:after="145" w:line="360" w:lineRule="auto"/>
        <w:rPr>
          <w:rFonts w:hint="eastAsia" w:ascii="仿宋" w:hAnsi="仿宋" w:eastAsia="仿宋" w:cs="仿宋"/>
          <w:b/>
          <w:bCs/>
          <w:color w:val="auto"/>
          <w:sz w:val="28"/>
          <w:szCs w:val="28"/>
          <w:highlight w:val="none"/>
          <w:lang w:val="en-US" w:eastAsia="zh-CN"/>
        </w:rPr>
        <w:outlineLvl w:val="1"/>
      </w:pPr>
      <w:r/>
      <w:bookmarkStart w:id="436" w:name="_Toc125"/>
      <w:r>
        <w:rPr>
          <w:rFonts w:hint="eastAsia" w:ascii="仿宋" w:hAnsi="仿宋" w:eastAsia="仿宋" w:cs="仿宋"/>
          <w:b/>
          <w:bCs/>
          <w:color w:val="auto"/>
          <w:sz w:val="28"/>
          <w:szCs w:val="28"/>
          <w:highlight w:val="none"/>
          <w:lang w:val="en-US" w:eastAsia="zh-CN"/>
        </w:rPr>
        <w:t xml:space="preserve">八、项目实施方案</w:t>
      </w:r>
      <w:bookmarkEnd w:id="436"/>
      <w:r/>
      <w:r/>
    </w:p>
    <w:p>
      <w:pPr>
        <w:numPr>
          <w:ilvl w:val="0"/>
          <w:numId w:val="0"/>
        </w:numPr>
        <w:jc w:val="center"/>
        <w:keepLines/>
        <w:keepNext/>
        <w:spacing w:before="145" w:after="145" w:line="360" w:lineRule="auto"/>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格式自拟。</w:t>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keepLines/>
        <w:keepNext/>
        <w:spacing w:before="145" w:after="145" w:line="360" w:lineRule="auto"/>
        <w:rPr>
          <w:rFonts w:hint="eastAsia" w:ascii="仿宋" w:hAnsi="仿宋" w:eastAsia="仿宋" w:cs="仿宋"/>
          <w:b/>
          <w:bCs/>
          <w:color w:val="auto"/>
          <w:sz w:val="28"/>
          <w:szCs w:val="28"/>
          <w:highlight w:val="none"/>
        </w:rPr>
        <w:outlineLvl w:val="1"/>
      </w:pPr>
      <w:r/>
      <w:bookmarkStart w:id="437" w:name="_Toc126"/>
      <w:r>
        <w:rPr>
          <w:rFonts w:hint="eastAsia" w:ascii="仿宋" w:hAnsi="仿宋" w:eastAsia="仿宋" w:cs="仿宋"/>
          <w:b/>
          <w:bCs/>
          <w:color w:val="auto"/>
          <w:sz w:val="28"/>
          <w:szCs w:val="28"/>
          <w:highlight w:val="none"/>
          <w:lang w:val="en-US" w:eastAsia="zh-CN"/>
        </w:rPr>
        <w:t xml:space="preserve">九、</w:t>
      </w:r>
      <w:r>
        <w:rPr>
          <w:rFonts w:hint="eastAsia" w:ascii="仿宋" w:hAnsi="仿宋" w:eastAsia="仿宋" w:cs="仿宋"/>
          <w:b/>
          <w:bCs/>
          <w:color w:val="auto"/>
          <w:sz w:val="28"/>
          <w:szCs w:val="28"/>
          <w:highlight w:val="none"/>
        </w:rPr>
        <w:t xml:space="preserve">项目组人员</w:t>
      </w:r>
      <w:bookmarkEnd w:id="437"/>
      <w:r/>
      <w:r/>
    </w:p>
    <w:p>
      <w:pPr>
        <w:pStyle w:val="918"/>
        <w:jc w:val="center"/>
        <w:spacing w:line="600" w:lineRule="exact"/>
        <w:rPr>
          <w:rFonts w:hint="eastAsia" w:ascii="仿宋" w:hAnsi="仿宋" w:eastAsia="仿宋" w:cs="仿宋"/>
          <w:b/>
          <w:bCs/>
          <w:color w:val="auto"/>
          <w:sz w:val="28"/>
          <w:szCs w:val="28"/>
          <w:highlight w:val="none"/>
        </w:rPr>
        <w:outlineLvl w:val="2"/>
      </w:pPr>
      <w:r/>
      <w:bookmarkStart w:id="438" w:name="_Toc127"/>
      <w:r>
        <w:rPr>
          <w:rFonts w:hint="eastAsia" w:ascii="仿宋" w:hAnsi="仿宋" w:eastAsia="仿宋" w:cs="仿宋"/>
          <w:b/>
          <w:bCs/>
          <w:color w:val="auto"/>
          <w:sz w:val="28"/>
          <w:szCs w:val="28"/>
          <w:highlight w:val="none"/>
          <w:lang w:bidi="ar"/>
        </w:rPr>
        <w:t xml:space="preserve">项目组成员</w:t>
      </w:r>
      <w:bookmarkEnd w:id="438"/>
      <w:r/>
      <w:r/>
    </w:p>
    <w:tbl>
      <w:tblPr>
        <w:tblStyle w:val="697"/>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2"/>
              <w:jc w:val="center"/>
              <w:spacing w:beforeAutospacing="1"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2"/>
              <w:jc w:val="center"/>
              <w:spacing w:beforeAutospacing="1"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2"/>
              <w:jc w:val="center"/>
              <w:spacing w:beforeAutospacing="1"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2"/>
              <w:ind w:firstLine="280"/>
              <w:spacing w:beforeAutospacing="1"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2"/>
              <w:jc w:val="center"/>
              <w:spacing w:beforeAutospacing="1"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2"/>
              <w:spacing w:beforeAutospacing="1"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18"/>
              <w:jc w:val="center"/>
              <w:rPr>
                <w:rFonts w:hint="eastAsia" w:ascii="仿宋" w:hAnsi="仿宋" w:eastAsia="仿宋" w:cs="仿宋"/>
                <w:color w:val="auto"/>
                <w:sz w:val="20"/>
                <w:szCs w:val="20"/>
                <w:highlight w:val="none"/>
                <w:lang w:eastAsia="zh-CN"/>
              </w:rPr>
            </w:pPr>
            <w:r>
              <w:rPr>
                <w:rFonts w:hint="eastAsia" w:ascii="仿宋" w:hAnsi="仿宋" w:eastAsia="仿宋" w:cs="仿宋"/>
                <w:color w:val="auto"/>
                <w:sz w:val="28"/>
                <w:szCs w:val="28"/>
                <w:highlight w:val="none"/>
                <w:lang w:bidi="ar"/>
              </w:rPr>
              <w:t xml:space="preserve">项目</w:t>
            </w:r>
            <w:r>
              <w:rPr>
                <w:rFonts w:hint="eastAsia" w:ascii="仿宋" w:hAnsi="仿宋" w:eastAsia="仿宋" w:cs="仿宋"/>
                <w:color w:val="auto"/>
                <w:sz w:val="28"/>
                <w:szCs w:val="28"/>
                <w:highlight w:val="none"/>
                <w:lang w:val="en-US" w:eastAsia="zh-CN" w:bidi="ar"/>
              </w:rPr>
              <w:t xml:space="preserve">负责人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1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18"/>
              <w:ind w:firstLine="2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1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1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82"/>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pStyle w:val="918"/>
        <w:ind w:firstLine="398"/>
        <w:spacing w:line="460" w:lineRule="exact"/>
        <w:rPr>
          <w:rFonts w:hint="eastAsia" w:ascii="仿宋" w:hAnsi="仿宋" w:eastAsia="仿宋" w:cs="仿宋"/>
          <w:color w:val="auto"/>
          <w:highlight w:val="none"/>
        </w:rPr>
      </w:pPr>
      <w:r>
        <w:rPr>
          <w:rFonts w:hint="eastAsia" w:ascii="仿宋" w:hAnsi="仿宋" w:eastAsia="仿宋" w:cs="仿宋"/>
          <w:b/>
          <w:color w:val="auto"/>
          <w:highlight w:val="none"/>
          <w:lang w:bidi="ar"/>
        </w:rPr>
        <w:t xml:space="preserve">注：如供应商成交，项目组成员必须按本表承诺人员操作，不得随意更换。按磋商文件要求附相关人员证书。</w:t>
      </w:r>
      <w:r/>
    </w:p>
    <w:p>
      <w:pPr>
        <w:keepLines/>
        <w:keepNext/>
        <w:spacing w:before="145" w:after="145" w:line="360" w:lineRule="auto"/>
        <w:rPr>
          <w:rFonts w:hint="eastAsia" w:ascii="仿宋" w:hAnsi="仿宋" w:eastAsia="仿宋" w:cs="仿宋"/>
          <w:b/>
          <w:bCs/>
          <w:color w:val="auto"/>
          <w:sz w:val="28"/>
          <w:szCs w:val="28"/>
          <w:highlight w:val="none"/>
        </w:rPr>
        <w:outlineLvl w:val="1"/>
      </w:pPr>
      <w:r/>
      <w:bookmarkStart w:id="439" w:name="_Toc128"/>
      <w:r>
        <w:rPr>
          <w:rFonts w:hint="eastAsia" w:ascii="仿宋" w:hAnsi="仿宋" w:eastAsia="仿宋" w:cs="仿宋"/>
          <w:color w:val="auto"/>
          <w:highlight w:val="none"/>
        </w:rPr>
        <w:br w:type="page" w:clear="all"/>
      </w:r>
      <w:r>
        <w:rPr>
          <w:rFonts w:hint="eastAsia" w:ascii="仿宋" w:hAnsi="仿宋" w:eastAsia="仿宋" w:cs="仿宋"/>
          <w:b/>
          <w:bCs/>
          <w:color w:val="auto"/>
          <w:sz w:val="28"/>
          <w:szCs w:val="28"/>
          <w:highlight w:val="none"/>
          <w:lang w:val="en-US" w:eastAsia="zh-CN"/>
        </w:rPr>
        <w:t xml:space="preserve">十</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rPr>
        <w:t xml:space="preserve">企业业绩</w:t>
      </w:r>
      <w:bookmarkEnd w:id="439"/>
      <w:r/>
      <w:r/>
    </w:p>
    <w:p>
      <w:pPr>
        <w:pStyle w:val="984"/>
        <w:jc w:val="center"/>
        <w:rPr>
          <w:rFonts w:hint="eastAsia" w:ascii="仿宋" w:hAnsi="仿宋" w:eastAsia="仿宋" w:cs="仿宋"/>
          <w:b/>
          <w:color w:val="auto"/>
          <w:sz w:val="28"/>
          <w:szCs w:val="28"/>
          <w:highlight w:val="none"/>
        </w:rPr>
        <w:outlineLvl w:val="2"/>
      </w:pPr>
      <w:r/>
      <w:bookmarkStart w:id="440" w:name="_Toc129"/>
      <w:r>
        <w:rPr>
          <w:rFonts w:hint="eastAsia" w:ascii="仿宋" w:hAnsi="仿宋" w:eastAsia="仿宋" w:cs="仿宋"/>
          <w:b/>
          <w:color w:val="auto"/>
          <w:sz w:val="28"/>
          <w:szCs w:val="28"/>
          <w:highlight w:val="none"/>
          <w:lang w:eastAsia="zh-CN"/>
        </w:rPr>
        <w:t xml:space="preserve">供应商</w:t>
      </w:r>
      <w:r>
        <w:rPr>
          <w:rFonts w:hint="eastAsia" w:ascii="仿宋" w:hAnsi="仿宋" w:eastAsia="仿宋" w:cs="仿宋"/>
          <w:b/>
          <w:color w:val="auto"/>
          <w:sz w:val="28"/>
          <w:szCs w:val="28"/>
          <w:highlight w:val="none"/>
        </w:rPr>
        <w:t xml:space="preserve">承担类似项目业绩一览表</w:t>
      </w:r>
      <w:bookmarkEnd w:id="440"/>
      <w:r/>
      <w:r/>
    </w:p>
    <w:tbl>
      <w:tblPr>
        <w:tblStyle w:val="69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675"/>
        <w:gridCol w:w="1868"/>
        <w:gridCol w:w="2112"/>
      </w:tblGrid>
      <w:tr>
        <w:trPr>
          <w:jc w:val="center"/>
          <w:trHeight w:val="753"/>
        </w:trPr>
        <w:tc>
          <w:tcPr>
            <w:tcW w:w="1229" w:type="dxa"/>
            <w:vAlign w:val="top"/>
            <w:textDirection w:val="lrTb"/>
            <w:noWrap w:val="false"/>
          </w:tcPr>
          <w:p>
            <w:pPr>
              <w:pStyle w:val="985"/>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3675" w:type="dxa"/>
            <w:vAlign w:val="center"/>
            <w:textDirection w:val="lrTb"/>
            <w:noWrap w:val="false"/>
          </w:tcPr>
          <w:p>
            <w:pPr>
              <w:pStyle w:val="985"/>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1868" w:type="dxa"/>
            <w:vAlign w:val="center"/>
            <w:textDirection w:val="lrTb"/>
            <w:noWrap w:val="false"/>
          </w:tcPr>
          <w:p>
            <w:pPr>
              <w:pStyle w:val="985"/>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采购单位</w:t>
            </w:r>
            <w:r/>
          </w:p>
        </w:tc>
        <w:tc>
          <w:tcPr>
            <w:tcW w:w="2112" w:type="dxa"/>
            <w:vAlign w:val="center"/>
            <w:textDirection w:val="lrTb"/>
            <w:noWrap w:val="false"/>
          </w:tcPr>
          <w:p>
            <w:pPr>
              <w:pStyle w:val="985"/>
              <w:jc w:val="center"/>
              <w:spacing w:line="56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合同</w:t>
            </w:r>
            <w:r>
              <w:rPr>
                <w:rFonts w:hint="eastAsia" w:ascii="仿宋" w:hAnsi="仿宋" w:eastAsia="仿宋" w:cs="仿宋"/>
                <w:color w:val="auto"/>
                <w:sz w:val="28"/>
                <w:szCs w:val="28"/>
                <w:highlight w:val="none"/>
                <w:lang w:val="en-US" w:eastAsia="zh-CN"/>
              </w:rPr>
              <w:t xml:space="preserve">签订时间</w:t>
            </w:r>
            <w:r/>
          </w:p>
        </w:tc>
      </w:tr>
      <w:tr>
        <w:trPr>
          <w:jc w:val="center"/>
          <w:trHeight w:val="1510"/>
        </w:trPr>
        <w:tc>
          <w:tcPr>
            <w:tcW w:w="1229" w:type="dxa"/>
            <w:vAlign w:val="top"/>
            <w:textDirection w:val="lrTb"/>
            <w:noWrap w:val="false"/>
          </w:tcPr>
          <w:p>
            <w:pPr>
              <w:pStyle w:val="98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675" w:type="dxa"/>
            <w:vAlign w:val="center"/>
            <w:textDirection w:val="lrTb"/>
            <w:noWrap w:val="false"/>
          </w:tcPr>
          <w:p>
            <w:pPr>
              <w:pStyle w:val="98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868" w:type="dxa"/>
            <w:vAlign w:val="center"/>
            <w:textDirection w:val="lrTb"/>
            <w:noWrap w:val="false"/>
          </w:tcPr>
          <w:p>
            <w:pPr>
              <w:pStyle w:val="98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112" w:type="dxa"/>
            <w:vAlign w:val="center"/>
            <w:textDirection w:val="lrTb"/>
            <w:noWrap w:val="false"/>
          </w:tcPr>
          <w:p>
            <w:pPr>
              <w:pStyle w:val="98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1229" w:type="dxa"/>
            <w:vAlign w:val="top"/>
            <w:textDirection w:val="lrTb"/>
            <w:noWrap w:val="false"/>
          </w:tcPr>
          <w:p>
            <w:pPr>
              <w:pStyle w:val="98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675" w:type="dxa"/>
            <w:vAlign w:val="center"/>
            <w:textDirection w:val="lrTb"/>
            <w:noWrap w:val="false"/>
          </w:tcPr>
          <w:p>
            <w:pPr>
              <w:pStyle w:val="98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868" w:type="dxa"/>
            <w:vAlign w:val="center"/>
            <w:textDirection w:val="lrTb"/>
            <w:noWrap w:val="false"/>
          </w:tcPr>
          <w:p>
            <w:pPr>
              <w:pStyle w:val="98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112" w:type="dxa"/>
            <w:vAlign w:val="center"/>
            <w:textDirection w:val="lrTb"/>
            <w:noWrap w:val="false"/>
          </w:tcPr>
          <w:p>
            <w:pPr>
              <w:pStyle w:val="98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1229" w:type="dxa"/>
            <w:vAlign w:val="top"/>
            <w:textDirection w:val="lrTb"/>
            <w:noWrap w:val="false"/>
          </w:tcPr>
          <w:p>
            <w:pPr>
              <w:pStyle w:val="98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675" w:type="dxa"/>
            <w:vAlign w:val="center"/>
            <w:textDirection w:val="lrTb"/>
            <w:noWrap w:val="false"/>
          </w:tcPr>
          <w:p>
            <w:pPr>
              <w:pStyle w:val="98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868" w:type="dxa"/>
            <w:vAlign w:val="center"/>
            <w:textDirection w:val="lrTb"/>
            <w:noWrap w:val="false"/>
          </w:tcPr>
          <w:p>
            <w:pPr>
              <w:pStyle w:val="98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112" w:type="dxa"/>
            <w:vAlign w:val="center"/>
            <w:textDirection w:val="lrTb"/>
            <w:noWrap w:val="false"/>
          </w:tcPr>
          <w:p>
            <w:pPr>
              <w:pStyle w:val="98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25"/>
        </w:trPr>
        <w:tc>
          <w:tcPr>
            <w:tcW w:w="1229" w:type="dxa"/>
            <w:vAlign w:val="top"/>
            <w:textDirection w:val="lrTb"/>
            <w:noWrap w:val="false"/>
          </w:tcPr>
          <w:p>
            <w:pPr>
              <w:pStyle w:val="98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675" w:type="dxa"/>
            <w:vAlign w:val="center"/>
            <w:textDirection w:val="lrTb"/>
            <w:noWrap w:val="false"/>
          </w:tcPr>
          <w:p>
            <w:pPr>
              <w:pStyle w:val="98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868" w:type="dxa"/>
            <w:vAlign w:val="center"/>
            <w:textDirection w:val="lrTb"/>
            <w:noWrap w:val="false"/>
          </w:tcPr>
          <w:p>
            <w:pPr>
              <w:pStyle w:val="98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112" w:type="dxa"/>
            <w:vAlign w:val="center"/>
            <w:textDirection w:val="lrTb"/>
            <w:noWrap w:val="false"/>
          </w:tcPr>
          <w:p>
            <w:pPr>
              <w:pStyle w:val="985"/>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bl>
    <w:p>
      <w:pPr>
        <w:pStyle w:val="984"/>
        <w:rPr>
          <w:rFonts w:hint="eastAsia" w:ascii="仿宋" w:hAnsi="仿宋" w:eastAsia="仿宋" w:cs="仿宋"/>
          <w:color w:val="auto"/>
          <w:highlight w:val="none"/>
        </w:rPr>
      </w:pPr>
      <w:r>
        <w:rPr>
          <w:rFonts w:hint="eastAsia" w:ascii="仿宋" w:hAnsi="仿宋" w:eastAsia="仿宋" w:cs="仿宋"/>
          <w:b/>
          <w:color w:val="auto"/>
          <w:sz w:val="24"/>
          <w:highlight w:val="none"/>
        </w:rPr>
        <w:t xml:space="preserve">注：请填写此表，并按要求上传业绩资料电子件。</w:t>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numPr>
          <w:ilvl w:val="0"/>
          <w:numId w:val="0"/>
        </w:numPr>
        <w:keepLines/>
        <w:keepNext/>
        <w:spacing w:before="145" w:after="145" w:line="360" w:lineRule="auto"/>
        <w:rPr>
          <w:rFonts w:hint="eastAsia" w:ascii="仿宋" w:hAnsi="仿宋" w:eastAsia="仿宋" w:cs="仿宋"/>
          <w:b/>
          <w:bCs/>
          <w:color w:val="auto"/>
          <w:sz w:val="28"/>
          <w:szCs w:val="28"/>
          <w:highlight w:val="none"/>
        </w:rPr>
        <w:outlineLvl w:val="1"/>
      </w:pPr>
      <w:r/>
      <w:bookmarkStart w:id="441" w:name="_Toc130"/>
      <w:r>
        <w:rPr>
          <w:rFonts w:hint="eastAsia" w:ascii="仿宋" w:hAnsi="仿宋" w:eastAsia="仿宋" w:cs="仿宋"/>
          <w:b/>
          <w:bCs/>
          <w:color w:val="auto"/>
          <w:sz w:val="28"/>
          <w:szCs w:val="28"/>
          <w:lang w:val="en-US" w:eastAsia="zh-CN" w:bidi="ar-SA"/>
        </w:rPr>
        <w:t xml:space="preserve">十一、</w:t>
      </w:r>
      <w:r>
        <w:rPr>
          <w:rFonts w:hint="eastAsia" w:ascii="仿宋" w:hAnsi="仿宋" w:eastAsia="仿宋" w:cs="仿宋"/>
          <w:b/>
          <w:bCs/>
          <w:color w:val="auto"/>
          <w:sz w:val="28"/>
          <w:szCs w:val="28"/>
          <w:highlight w:val="none"/>
        </w:rPr>
        <w:t xml:space="preserve">磋商所需其他材料</w:t>
      </w:r>
      <w:bookmarkEnd w:id="441"/>
      <w:r/>
      <w:r/>
    </w:p>
    <w:p>
      <w:pPr>
        <w:pStyle w:val="980"/>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请在此文档中增加磋商所需其他相关内容（包括资格要求、评分办法、采购需求中涉及的证件证明及其</w:t>
      </w:r>
      <w:r>
        <w:rPr>
          <w:rFonts w:hint="eastAsia" w:ascii="仿宋" w:hAnsi="仿宋" w:eastAsia="仿宋" w:cs="仿宋"/>
          <w:color w:val="auto"/>
          <w:sz w:val="28"/>
          <w:szCs w:val="28"/>
          <w:highlight w:val="none"/>
          <w:lang w:eastAsia="zh-CN"/>
        </w:rPr>
        <w:t xml:space="preserve">他供应商</w:t>
      </w:r>
      <w:r>
        <w:rPr>
          <w:rFonts w:hint="eastAsia" w:ascii="仿宋" w:hAnsi="仿宋" w:eastAsia="仿宋" w:cs="仿宋"/>
          <w:color w:val="auto"/>
          <w:sz w:val="28"/>
          <w:szCs w:val="28"/>
          <w:highlight w:val="none"/>
        </w:rPr>
        <w:t xml:space="preserve">认为有必要提供的资料），如没有请将此空文档上传。</w:t>
      </w:r>
      <w:r/>
    </w:p>
    <w:p>
      <w:p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2"/>
          <w:szCs w:val="32"/>
          <w:highlight w:val="none"/>
        </w:rPr>
        <w:t xml:space="preserve">质疑函范本</w:t>
      </w:r>
      <w:r/>
    </w:p>
    <w:p>
      <w:pPr>
        <w:spacing w:before="290" w:line="360" w:lineRule="auto"/>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一、质疑供应商基本信息</w:t>
      </w:r>
      <w:r/>
    </w:p>
    <w:p>
      <w:pPr>
        <w:spacing w:line="360" w:lineRule="auto"/>
        <w:rPr>
          <w:rFonts w:hint="eastAsia" w:ascii="仿宋" w:hAnsi="仿宋" w:eastAsia="仿宋" w:cs="仿宋"/>
          <w:color w:val="auto"/>
          <w:sz w:val="24"/>
          <w:szCs w:val="24"/>
          <w:highlight w:val="none"/>
          <w:u w:val="single"/>
        </w:rPr>
        <w:outlineLvl w:val="9"/>
      </w:pPr>
      <w:r>
        <w:rPr>
          <w:rFonts w:hint="eastAsia" w:ascii="仿宋" w:hAnsi="仿宋" w:eastAsia="仿宋" w:cs="仿宋"/>
          <w:color w:val="auto"/>
          <w:sz w:val="24"/>
          <w:szCs w:val="24"/>
          <w:highlight w:val="none"/>
        </w:rPr>
        <w:t xml:space="preserve">质疑供应商：</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outlineLvl w:val="9"/>
      </w:pPr>
      <w:r>
        <w:rPr>
          <w:rFonts w:hint="eastAsia" w:ascii="仿宋" w:hAnsi="仿宋" w:eastAsia="仿宋" w:cs="仿宋"/>
          <w:color w:val="auto"/>
          <w:sz w:val="24"/>
          <w:szCs w:val="24"/>
          <w:highlight w:val="none"/>
        </w:rPr>
        <w:t xml:space="preserve">授权代表：</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地址：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二、质疑项目基本情况</w:t>
      </w:r>
      <w:r/>
    </w:p>
    <w:p>
      <w:pPr>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质疑项目的名称：</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质疑项目的编号：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包号：</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outlineLvl w:val="9"/>
      </w:pPr>
      <w:r>
        <w:rPr>
          <w:rFonts w:hint="eastAsia" w:ascii="仿宋" w:hAnsi="仿宋" w:eastAsia="仿宋" w:cs="仿宋"/>
          <w:color w:val="auto"/>
          <w:sz w:val="24"/>
          <w:szCs w:val="24"/>
          <w:highlight w:val="none"/>
        </w:rPr>
        <w:t xml:space="preserve">采购人名称：</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采购文件获取日期：</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三、质疑事项具体内容</w:t>
      </w:r>
      <w:r/>
    </w:p>
    <w:p>
      <w:pPr>
        <w:spacing w:line="360" w:lineRule="auto"/>
        <w:rPr>
          <w:rFonts w:hint="eastAsia" w:ascii="仿宋" w:hAnsi="仿宋" w:eastAsia="仿宋" w:cs="仿宋"/>
          <w:color w:val="auto"/>
          <w:sz w:val="24"/>
          <w:szCs w:val="24"/>
          <w:highlight w:val="none"/>
          <w:u w:val="single"/>
        </w:rPr>
        <w:outlineLvl w:val="9"/>
      </w:pPr>
      <w:r>
        <w:rPr>
          <w:rFonts w:hint="eastAsia" w:ascii="仿宋" w:hAnsi="仿宋" w:eastAsia="仿宋" w:cs="仿宋"/>
          <w:color w:val="auto"/>
          <w:sz w:val="24"/>
          <w:szCs w:val="24"/>
          <w:highlight w:val="none"/>
        </w:rPr>
        <w:t xml:space="preserve">质疑事项1：</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outlineLvl w:val="9"/>
      </w:pPr>
      <w:r>
        <w:rPr>
          <w:rFonts w:hint="eastAsia" w:ascii="仿宋" w:hAnsi="仿宋" w:eastAsia="仿宋" w:cs="仿宋"/>
          <w:color w:val="auto"/>
          <w:sz w:val="24"/>
          <w:szCs w:val="24"/>
          <w:highlight w:val="none"/>
        </w:rPr>
        <w:t xml:space="preserve">事实依据：</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outlineLvl w:val="9"/>
      </w:pPr>
      <w:r>
        <w:rPr>
          <w:rFonts w:hint="eastAsia" w:ascii="仿宋" w:hAnsi="仿宋" w:eastAsia="仿宋" w:cs="仿宋"/>
          <w:color w:val="auto"/>
          <w:sz w:val="24"/>
          <w:szCs w:val="24"/>
          <w:highlight w:val="none"/>
        </w:rPr>
        <w:t xml:space="preserve">法律依据：</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outlineLvl w:val="9"/>
      </w:pP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outlineLvl w:val="9"/>
      </w:pPr>
      <w:r>
        <w:rPr>
          <w:rFonts w:hint="eastAsia" w:ascii="仿宋" w:hAnsi="仿宋" w:eastAsia="仿宋" w:cs="仿宋"/>
          <w:color w:val="auto"/>
          <w:sz w:val="24"/>
          <w:szCs w:val="24"/>
          <w:highlight w:val="none"/>
        </w:rPr>
        <w:t xml:space="preserve">质疑事项2</w:t>
      </w:r>
      <w:r/>
    </w:p>
    <w:p>
      <w:pPr>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w:t>
      </w:r>
      <w:r/>
    </w:p>
    <w:p>
      <w:pPr>
        <w:spacing w:line="360" w:lineRule="auto"/>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四、与质疑事项相关的质疑请求</w:t>
      </w:r>
      <w:r/>
    </w:p>
    <w:p>
      <w:pPr>
        <w:spacing w:line="360" w:lineRule="auto"/>
        <w:rPr>
          <w:rFonts w:hint="eastAsia" w:ascii="仿宋" w:hAnsi="仿宋" w:eastAsia="仿宋" w:cs="仿宋"/>
          <w:color w:val="auto"/>
          <w:sz w:val="24"/>
          <w:szCs w:val="24"/>
          <w:highlight w:val="none"/>
          <w:u w:val="single"/>
        </w:rPr>
        <w:outlineLvl w:val="9"/>
      </w:pPr>
      <w:r>
        <w:rPr>
          <w:rFonts w:hint="eastAsia" w:ascii="仿宋" w:hAnsi="仿宋" w:eastAsia="仿宋" w:cs="仿宋"/>
          <w:color w:val="auto"/>
          <w:sz w:val="24"/>
          <w:szCs w:val="24"/>
          <w:highlight w:val="none"/>
        </w:rPr>
        <w:t xml:space="preserve">请求：</w:t>
      </w:r>
      <w:r>
        <w:rPr>
          <w:rFonts w:hint="eastAsia" w:ascii="仿宋" w:hAnsi="仿宋" w:eastAsia="仿宋" w:cs="仿宋"/>
          <w:color w:val="auto"/>
          <w:sz w:val="24"/>
          <w:szCs w:val="24"/>
          <w:highlight w:val="none"/>
          <w:u w:val="single"/>
        </w:rPr>
        <w:t xml:space="preserve">                                                                     </w:t>
      </w:r>
      <w:r/>
    </w:p>
    <w:p>
      <w:pP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签字</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公章：                      </w:t>
      </w:r>
      <w:r/>
    </w:p>
    <w:p>
      <w:pP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日期：    </w:t>
      </w:r>
      <w:r/>
    </w:p>
    <w:p>
      <w:pPr>
        <w:spacing w:line="400" w:lineRule="exact"/>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质疑函制作说明：</w:t>
      </w:r>
      <w:r/>
    </w:p>
    <w:p>
      <w:pPr>
        <w:ind w:firstLine="480"/>
        <w:jc w:val="left"/>
        <w:spacing w:line="40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5.质疑函的质疑请求应与质疑事项相关。</w:t>
      </w:r>
      <w:r/>
    </w:p>
    <w:p>
      <w:pPr>
        <w:ind w:firstLine="480"/>
        <w:jc w:val="left"/>
        <w:spacing w:line="40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sectPr>
      <w:headerReference w:type="default" r:id="rId10"/>
      <w:footerReference w:type="default" r:id="rId11"/>
      <w:footerReference w:type="even" r:id="rId12"/>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Fangsong">
    <w:panose1 w:val="02010600040101010101"/>
  </w:font>
  <w:font w:name="Symbol">
    <w:panose1 w:val="05050102010706020507"/>
  </w:font>
  <w:font w:name="Wingdings">
    <w:panose1 w:val="05000000000000000000"/>
  </w:font>
  <w:font w:name="仿宋">
    <w:panose1 w:val="02010609060101010101"/>
  </w:font>
  <w:font w:name="等线">
    <w:panose1 w:val="02010600030101010101"/>
  </w:font>
  <w:font w:name="Helvetica-Light">
    <w:panose1 w:val="020B0503020202020204"/>
  </w:font>
  <w:font w:name="Helvetica">
    <w:panose1 w:val="020B0604020202020204"/>
  </w:font>
  <w:font w:name="Cambria">
    <w:panose1 w:val="02040503050406030204"/>
  </w:font>
  <w:font w:name="Kingsoft Phonetic Plain">
    <w:panose1 w:val="020B0503020202020204"/>
  </w:font>
  <w:font w:name="方正黑体_GBK">
    <w:panose1 w:val="020B0503020202020204"/>
  </w:font>
  <w:font w:name="Book Antiqua">
    <w:panose1 w:val="020406020503050303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华文仿宋">
    <w:panose1 w:val="0201060004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rStyle w:val="928"/>
        <w:rFonts w:ascii="宋体" w:hAnsi="宋体"/>
      </w:rPr>
      <w:framePr w:wrap="around" w:vAnchor="text" w:hAnchor="margin" w:xAlign="center" w:y="1"/>
    </w:pPr>
    <w:r>
      <w:rPr>
        <w:rFonts w:ascii="宋体" w:hAnsi="宋体"/>
      </w:rPr>
      <w:fldChar w:fldCharType="begin"/>
    </w:r>
    <w:r>
      <w:rPr>
        <w:rStyle w:val="928"/>
        <w:rFonts w:ascii="宋体" w:hAnsi="宋体"/>
      </w:rPr>
      <w:instrText xml:space="preserve">PAGE  </w:instrText>
    </w:r>
    <w:r>
      <w:rPr>
        <w:rFonts w:ascii="宋体" w:hAnsi="宋体"/>
      </w:rPr>
      <w:fldChar w:fldCharType="separate"/>
    </w:r>
    <w:r>
      <w:rPr>
        <w:rStyle w:val="928"/>
        <w:rFonts w:ascii="宋体" w:hAnsi="宋体"/>
      </w:rPr>
      <w:t xml:space="preserve">３９</w:t>
    </w:r>
    <w:r>
      <w:rPr>
        <w:rFonts w:ascii="宋体" w:hAnsi="宋体"/>
      </w:rPr>
      <w:fldChar w:fldCharType="end"/>
    </w:r>
    <w:r/>
  </w:p>
  <w:p>
    <w:pPr>
      <w:pStyle w:val="908"/>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rStyle w:val="928"/>
      </w:rPr>
      <w:framePr w:wrap="around" w:vAnchor="text" w:hAnchor="margin" w:xAlign="center" w:y="1"/>
    </w:pPr>
    <w:r>
      <w:fldChar w:fldCharType="begin"/>
    </w:r>
    <w:r>
      <w:rPr>
        <w:rStyle w:val="928"/>
      </w:rPr>
      <w:instrText xml:space="preserve">PAGE  </w:instrText>
    </w:r>
    <w:r>
      <w:fldChar w:fldCharType="separate"/>
    </w:r>
    <w:r>
      <w:rPr>
        <w:rStyle w:val="928"/>
      </w:rPr>
      <w:t xml:space="preserve">1</w:t>
    </w:r>
    <w:r>
      <w:fldChar w:fldCharType="end"/>
    </w:r>
    <w:r/>
  </w:p>
  <w:p>
    <w:pPr>
      <w:pStyle w:val="9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4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211"/>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187"/>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8"/>
      <w:isLgl w:val="false"/>
      <w:suff w:val="nothing"/>
      <w:lvlText w:val=""/>
      <w:lvlJc w:val="left"/>
      <w:pPr>
        <w:ind w:left="0" w:firstLine="0"/>
      </w:pPr>
      <w:rPr>
        <w:rFonts w:hint="eastAsia"/>
      </w:rPr>
    </w:lvl>
    <w:lvl w:ilvl="6">
      <w:start w:val="1"/>
      <w:numFmt w:val="decimal"/>
      <w:pStyle w:val="880"/>
      <w:isLgl w:val="false"/>
      <w:suff w:val="nothing"/>
      <w:lvlText w:val=""/>
      <w:lvlJc w:val="left"/>
      <w:pPr>
        <w:ind w:left="0" w:firstLine="0"/>
      </w:pPr>
      <w:rPr>
        <w:rFonts w:hint="eastAsia"/>
      </w:rPr>
    </w:lvl>
    <w:lvl w:ilvl="7">
      <w:start w:val="1"/>
      <w:numFmt w:val="decimal"/>
      <w:pStyle w:val="882"/>
      <w:isLgl w:val="false"/>
      <w:suff w:val="nothing"/>
      <w:lvlText w:val=""/>
      <w:lvlJc w:val="left"/>
      <w:pPr>
        <w:ind w:left="0" w:firstLine="0"/>
      </w:pPr>
      <w:rPr>
        <w:rFonts w:hint="eastAsia"/>
      </w:rPr>
    </w:lvl>
    <w:lvl w:ilvl="8">
      <w:start w:val="1"/>
      <w:numFmt w:val="decimal"/>
      <w:pStyle w:val="884"/>
      <w:isLgl w:val="false"/>
      <w:suff w:val="nothing"/>
      <w:lvlText w:val=""/>
      <w:lvlJc w:val="left"/>
      <w:pPr>
        <w:ind w:left="0" w:firstLine="0"/>
      </w:pPr>
      <w:rPr>
        <w:rFonts w:hint="eastAsia"/>
      </w:rPr>
    </w:lvl>
  </w:abstractNum>
  <w:abstractNum w:abstractNumId="2">
    <w:multiLevelType w:val="hybridMultilevel"/>
    <w:lvl w:ilvl="0">
      <w:start w:val="1"/>
      <w:numFmt w:val="decimal"/>
      <w:pStyle w:val="95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pStyle w:val="1212"/>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687">
    <w:name w:val="Heading 1"/>
    <w:basedOn w:val="686"/>
    <w:next w:val="686"/>
    <w:link w:val="723"/>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86"/>
    <w:uiPriority w:val="9"/>
    <w:unhideWhenUsed/>
    <w:qFormat/>
    <w:pPr>
      <w:keepLines/>
      <w:keepNext/>
      <w:spacing w:before="360" w:after="200"/>
      <w:outlineLvl w:val="1"/>
    </w:pPr>
    <w:rPr>
      <w:rFonts w:ascii="Arial" w:hAnsi="Arial" w:eastAsia="Arial" w:cs="Arial"/>
      <w:sz w:val="34"/>
    </w:rPr>
  </w:style>
  <w:style w:type="paragraph" w:styleId="689">
    <w:name w:val="Heading 3"/>
    <w:basedOn w:val="686"/>
    <w:next w:val="686"/>
    <w:uiPriority w:val="9"/>
    <w:unhideWhenUsed/>
    <w:qFormat/>
    <w:pPr>
      <w:keepLines/>
      <w:keepNext/>
      <w:spacing w:before="320" w:after="200"/>
      <w:outlineLvl w:val="2"/>
    </w:pPr>
    <w:rPr>
      <w:rFonts w:ascii="Arial" w:hAnsi="Arial" w:eastAsia="Arial" w:cs="Arial"/>
      <w:sz w:val="30"/>
      <w:szCs w:val="30"/>
    </w:rPr>
  </w:style>
  <w:style w:type="paragraph" w:styleId="690">
    <w:name w:val="Heading 4"/>
    <w:basedOn w:val="686"/>
    <w:next w:val="686"/>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link w:val="724"/>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link w:val="725"/>
    <w:uiPriority w:val="9"/>
    <w:unhideWhenUsed/>
    <w:qFormat/>
    <w:pPr>
      <w:keepLines/>
      <w:keepNext/>
      <w:spacing w:before="320" w:after="200"/>
      <w:outlineLvl w:val="5"/>
    </w:pPr>
    <w:rPr>
      <w:rFonts w:ascii="Arial" w:hAnsi="Arial" w:eastAsia="Arial" w:cs="Arial"/>
      <w:b/>
      <w:bCs/>
      <w:sz w:val="22"/>
      <w:szCs w:val="22"/>
    </w:rPr>
  </w:style>
  <w:style w:type="paragraph" w:styleId="693">
    <w:name w:val="Heading 7"/>
    <w:basedOn w:val="686"/>
    <w:next w:val="686"/>
    <w:link w:val="726"/>
    <w:uiPriority w:val="9"/>
    <w:unhideWhenUsed/>
    <w:qFormat/>
    <w:pPr>
      <w:keepLines/>
      <w:keepNext/>
      <w:spacing w:before="320" w:after="200"/>
      <w:outlineLvl w:val="6"/>
    </w:pPr>
    <w:rPr>
      <w:rFonts w:ascii="Arial" w:hAnsi="Arial" w:eastAsia="Arial" w:cs="Arial"/>
      <w:b/>
      <w:bCs/>
      <w:i/>
      <w:iCs/>
      <w:sz w:val="22"/>
      <w:szCs w:val="22"/>
    </w:rPr>
  </w:style>
  <w:style w:type="paragraph" w:styleId="694">
    <w:name w:val="Heading 8"/>
    <w:basedOn w:val="686"/>
    <w:next w:val="686"/>
    <w:link w:val="727"/>
    <w:uiPriority w:val="9"/>
    <w:unhideWhenUsed/>
    <w:qFormat/>
    <w:pPr>
      <w:keepLines/>
      <w:keepNext/>
      <w:spacing w:before="320" w:after="200"/>
      <w:outlineLvl w:val="7"/>
    </w:pPr>
    <w:rPr>
      <w:rFonts w:ascii="Arial" w:hAnsi="Arial" w:eastAsia="Arial" w:cs="Arial"/>
      <w:i/>
      <w:iCs/>
      <w:sz w:val="22"/>
      <w:szCs w:val="22"/>
    </w:rPr>
  </w:style>
  <w:style w:type="paragraph" w:styleId="695">
    <w:name w:val="Heading 9"/>
    <w:basedOn w:val="686"/>
    <w:next w:val="686"/>
    <w:link w:val="728"/>
    <w:uiPriority w:val="9"/>
    <w:unhideWhenUsed/>
    <w:qFormat/>
    <w:pPr>
      <w:keepLines/>
      <w:keepNext/>
      <w:spacing w:before="320" w:after="200"/>
      <w:outlineLvl w:val="8"/>
    </w:pPr>
    <w:rPr>
      <w:rFonts w:ascii="Arial" w:hAnsi="Arial" w:eastAsia="Arial" w:cs="Arial"/>
      <w:i/>
      <w:iCs/>
      <w:sz w:val="21"/>
      <w:szCs w:val="21"/>
    </w:rPr>
  </w:style>
  <w:style w:type="character" w:styleId="696" w:default="1">
    <w:name w:val="Default Paragraph Font"/>
    <w:uiPriority w:val="1"/>
    <w:unhideWhenUsed/>
    <w:qFormat/>
  </w:style>
  <w:style w:type="table" w:styleId="697" w:default="1">
    <w:name w:val="Normal Table"/>
    <w:uiPriority w:val="99"/>
    <w:unhideWhenUsed/>
    <w:qFormat/>
    <w:tblPr>
      <w:tblCellMar>
        <w:left w:w="108" w:type="dxa"/>
        <w:top w:w="0" w:type="dxa"/>
        <w:right w:w="108" w:type="dxa"/>
        <w:bottom w:w="0" w:type="dxa"/>
      </w:tblCellMar>
    </w:tblPr>
  </w:style>
  <w:style w:type="paragraph" w:styleId="698">
    <w:name w:val="toc 7"/>
    <w:basedOn w:val="686"/>
    <w:next w:val="686"/>
    <w:uiPriority w:val="0"/>
    <w:qFormat/>
    <w:pPr>
      <w:ind w:left="1260"/>
      <w:jc w:val="left"/>
    </w:pPr>
    <w:rPr>
      <w:rFonts w:ascii="Times New Roman" w:hAnsi="Times New Roman" w:eastAsia="宋体" w:cs="Times New Roman"/>
      <w:szCs w:val="21"/>
    </w:rPr>
  </w:style>
  <w:style w:type="paragraph" w:styleId="699">
    <w:name w:val="Caption"/>
    <w:basedOn w:val="686"/>
    <w:next w:val="686"/>
    <w:uiPriority w:val="35"/>
    <w:unhideWhenUsed/>
    <w:qFormat/>
    <w:pPr>
      <w:spacing w:line="276" w:lineRule="auto"/>
    </w:pPr>
    <w:rPr>
      <w:b/>
      <w:bCs/>
      <w:color w:val="4f81bd"/>
      <w:sz w:val="18"/>
      <w:szCs w:val="18"/>
    </w:rPr>
  </w:style>
  <w:style w:type="paragraph" w:styleId="700">
    <w:name w:val="annotation text"/>
    <w:basedOn w:val="686"/>
    <w:uiPriority w:val="99"/>
    <w:unhideWhenUsed/>
    <w:qFormat/>
    <w:pPr>
      <w:jc w:val="left"/>
    </w:pPr>
  </w:style>
  <w:style w:type="paragraph" w:styleId="701">
    <w:name w:val="Body Text"/>
    <w:basedOn w:val="686"/>
    <w:uiPriority w:val="0"/>
    <w:qFormat/>
    <w:rPr>
      <w:rFonts w:ascii="楷体_GB2312" w:hAnsi="Arial" w:eastAsia="楷体_GB2312"/>
      <w:sz w:val="28"/>
      <w:szCs w:val="28"/>
    </w:rPr>
  </w:style>
  <w:style w:type="paragraph" w:styleId="702">
    <w:name w:val="toc 5"/>
    <w:basedOn w:val="686"/>
    <w:next w:val="686"/>
    <w:uiPriority w:val="0"/>
    <w:qFormat/>
    <w:pPr>
      <w:ind w:left="840"/>
      <w:jc w:val="left"/>
    </w:pPr>
    <w:rPr>
      <w:rFonts w:ascii="Times New Roman" w:hAnsi="Times New Roman" w:eastAsia="宋体" w:cs="Times New Roman"/>
      <w:szCs w:val="21"/>
    </w:rPr>
  </w:style>
  <w:style w:type="paragraph" w:styleId="703">
    <w:name w:val="toc 3"/>
    <w:basedOn w:val="686"/>
    <w:next w:val="686"/>
    <w:uiPriority w:val="39"/>
    <w:qFormat/>
    <w:pPr>
      <w:ind w:left="420"/>
      <w:jc w:val="left"/>
      <w:tabs>
        <w:tab w:val="right" w:pos="8943" w:leader="dot"/>
      </w:tabs>
    </w:pPr>
    <w:rPr>
      <w:rFonts w:ascii="Times New Roman" w:hAnsi="Times New Roman"/>
      <w:iCs/>
      <w:szCs w:val="24"/>
    </w:rPr>
  </w:style>
  <w:style w:type="paragraph" w:styleId="704">
    <w:name w:val="toc 8"/>
    <w:basedOn w:val="686"/>
    <w:next w:val="686"/>
    <w:uiPriority w:val="0"/>
    <w:qFormat/>
    <w:pPr>
      <w:ind w:left="1470"/>
      <w:jc w:val="left"/>
    </w:pPr>
    <w:rPr>
      <w:rFonts w:ascii="Times New Roman" w:hAnsi="Times New Roman" w:eastAsia="宋体" w:cs="Times New Roman"/>
      <w:szCs w:val="21"/>
    </w:rPr>
  </w:style>
  <w:style w:type="paragraph" w:styleId="705">
    <w:name w:val="endnote text"/>
    <w:basedOn w:val="686"/>
    <w:link w:val="729"/>
    <w:uiPriority w:val="99"/>
    <w:unhideWhenUsed/>
    <w:qFormat/>
    <w:pPr>
      <w:spacing w:after="0" w:line="240" w:lineRule="auto"/>
    </w:pPr>
    <w:rPr>
      <w:sz w:val="20"/>
    </w:rPr>
  </w:style>
  <w:style w:type="paragraph" w:styleId="706">
    <w:name w:val="Footer"/>
    <w:basedOn w:val="686"/>
    <w:link w:val="730"/>
    <w:uiPriority w:val="99"/>
    <w:unhideWhenUsed/>
    <w:qFormat/>
    <w:pPr>
      <w:spacing w:after="0" w:line="240" w:lineRule="auto"/>
      <w:tabs>
        <w:tab w:val="center" w:pos="7143" w:leader="none"/>
        <w:tab w:val="right" w:pos="14287" w:leader="none"/>
      </w:tabs>
    </w:pPr>
  </w:style>
  <w:style w:type="paragraph" w:styleId="707">
    <w:name w:val="Header"/>
    <w:basedOn w:val="686"/>
    <w:uiPriority w:val="99"/>
    <w:unhideWhenUsed/>
    <w:qFormat/>
    <w:pPr>
      <w:spacing w:after="0" w:line="240" w:lineRule="auto"/>
      <w:tabs>
        <w:tab w:val="center" w:pos="7143" w:leader="none"/>
        <w:tab w:val="right" w:pos="14287" w:leader="none"/>
      </w:tabs>
    </w:pPr>
  </w:style>
  <w:style w:type="paragraph" w:styleId="708">
    <w:name w:val="toc 1"/>
    <w:next w:val="686"/>
    <w:uiPriority w:val="39"/>
    <w:qFormat/>
    <w:pPr>
      <w:tabs>
        <w:tab w:val="right" w:pos="8943" w:leader="dot"/>
      </w:tabs>
    </w:pPr>
    <w:rPr>
      <w:rFonts w:hint="default" w:ascii="宋体" w:hAnsi="宋体" w:eastAsia="宋体" w:cs="Times New Roman"/>
      <w:caps/>
      <w:sz w:val="21"/>
      <w:szCs w:val="24"/>
      <w:lang w:val="en-US" w:eastAsia="zh-CN" w:bidi="ar-SA"/>
    </w:rPr>
  </w:style>
  <w:style w:type="paragraph" w:styleId="709">
    <w:name w:val="toc 4"/>
    <w:basedOn w:val="686"/>
    <w:next w:val="686"/>
    <w:uiPriority w:val="39"/>
    <w:unhideWhenUsed/>
    <w:qFormat/>
    <w:pPr>
      <w:ind w:left="850" w:right="0" w:firstLine="0"/>
      <w:spacing w:after="57"/>
    </w:pPr>
  </w:style>
  <w:style w:type="paragraph" w:styleId="710">
    <w:name w:val="Subtitle"/>
    <w:basedOn w:val="686"/>
    <w:next w:val="686"/>
    <w:link w:val="731"/>
    <w:uiPriority w:val="11"/>
    <w:qFormat/>
    <w:pPr>
      <w:spacing w:before="200" w:after="200"/>
    </w:pPr>
    <w:rPr>
      <w:sz w:val="24"/>
      <w:szCs w:val="24"/>
    </w:rPr>
  </w:style>
  <w:style w:type="paragraph" w:styleId="711">
    <w:name w:val="footnote text"/>
    <w:basedOn w:val="686"/>
    <w:link w:val="732"/>
    <w:uiPriority w:val="99"/>
    <w:unhideWhenUsed/>
    <w:qFormat/>
    <w:pPr>
      <w:spacing w:after="40" w:line="240" w:lineRule="auto"/>
    </w:pPr>
    <w:rPr>
      <w:sz w:val="18"/>
    </w:rPr>
  </w:style>
  <w:style w:type="paragraph" w:styleId="712">
    <w:name w:val="toc 6"/>
    <w:basedOn w:val="686"/>
    <w:next w:val="686"/>
    <w:uiPriority w:val="0"/>
    <w:qFormat/>
    <w:pPr>
      <w:ind w:left="1050"/>
      <w:jc w:val="left"/>
    </w:pPr>
    <w:rPr>
      <w:rFonts w:ascii="Times New Roman" w:hAnsi="Times New Roman" w:eastAsia="宋体" w:cs="Times New Roman"/>
      <w:szCs w:val="21"/>
    </w:rPr>
  </w:style>
  <w:style w:type="paragraph" w:styleId="713">
    <w:name w:val="table of figures"/>
    <w:basedOn w:val="686"/>
    <w:next w:val="686"/>
    <w:uiPriority w:val="99"/>
    <w:unhideWhenUsed/>
    <w:qFormat/>
    <w:pPr>
      <w:spacing w:after="0" w:afterAutospacing="0"/>
    </w:pPr>
  </w:style>
  <w:style w:type="paragraph" w:styleId="714">
    <w:name w:val="toc 2"/>
    <w:basedOn w:val="686"/>
    <w:next w:val="686"/>
    <w:uiPriority w:val="39"/>
    <w:qFormat/>
    <w:pPr>
      <w:ind w:left="210"/>
      <w:jc w:val="left"/>
    </w:pPr>
    <w:rPr>
      <w:rFonts w:ascii="Times New Roman" w:hAnsi="Times New Roman"/>
      <w:smallCaps/>
      <w:szCs w:val="24"/>
    </w:rPr>
  </w:style>
  <w:style w:type="paragraph" w:styleId="715">
    <w:name w:val="toc 9"/>
    <w:basedOn w:val="686"/>
    <w:next w:val="686"/>
    <w:uiPriority w:val="0"/>
    <w:qFormat/>
    <w:pPr>
      <w:ind w:left="1680"/>
      <w:jc w:val="left"/>
    </w:pPr>
    <w:rPr>
      <w:rFonts w:ascii="Times New Roman" w:hAnsi="Times New Roman" w:eastAsia="宋体" w:cs="Times New Roman"/>
      <w:szCs w:val="21"/>
    </w:rPr>
  </w:style>
  <w:style w:type="paragraph" w:styleId="716">
    <w:name w:val="Normal (Web)"/>
    <w:basedOn w:val="686"/>
    <w:uiPriority w:val="99"/>
    <w:unhideWhenUsed/>
    <w:qFormat/>
    <w:pPr>
      <w:ind w:left="0" w:right="0"/>
      <w:jc w:val="left"/>
      <w:spacing w:before="100" w:beforeAutospacing="1" w:after="100" w:afterAutospacing="1"/>
    </w:pPr>
    <w:rPr>
      <w:sz w:val="24"/>
      <w:lang w:val="en-US" w:eastAsia="zh-CN" w:bidi="ar"/>
    </w:rPr>
  </w:style>
  <w:style w:type="paragraph" w:styleId="717">
    <w:name w:val="Title"/>
    <w:basedOn w:val="686"/>
    <w:next w:val="686"/>
    <w:link w:val="733"/>
    <w:uiPriority w:val="10"/>
    <w:qFormat/>
    <w:pPr>
      <w:contextualSpacing/>
      <w:spacing w:before="300" w:after="200"/>
    </w:pPr>
    <w:rPr>
      <w:sz w:val="48"/>
      <w:szCs w:val="48"/>
    </w:rPr>
  </w:style>
  <w:style w:type="paragraph" w:styleId="718">
    <w:name w:val="Body Text First Indent"/>
    <w:basedOn w:val="701"/>
    <w:uiPriority w:val="0"/>
    <w:qFormat/>
    <w:pPr>
      <w:ind w:firstLine="200"/>
      <w:spacing w:line="360" w:lineRule="auto"/>
    </w:pPr>
    <w:rPr>
      <w:rFonts w:ascii="仿宋_GB2312" w:hAnsi="Times New Roman" w:eastAsia="仿宋_GB2312"/>
      <w:sz w:val="30"/>
      <w:szCs w:val="30"/>
    </w:rPr>
  </w:style>
  <w:style w:type="table" w:styleId="7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endnote reference"/>
    <w:uiPriority w:val="99"/>
    <w:unhideWhenUsed/>
    <w:qFormat/>
    <w:rPr>
      <w:vertAlign w:val="superscript"/>
    </w:rPr>
  </w:style>
  <w:style w:type="character" w:styleId="721">
    <w:name w:val="Hyperlink"/>
    <w:uiPriority w:val="99"/>
    <w:unhideWhenUsed/>
    <w:qFormat/>
    <w:rPr>
      <w:color w:val="0000ff"/>
      <w:u w:val="single"/>
    </w:rPr>
  </w:style>
  <w:style w:type="character" w:styleId="722">
    <w:name w:val="footnote reference"/>
    <w:uiPriority w:val="99"/>
    <w:unhideWhenUsed/>
    <w:qFormat/>
    <w:rPr>
      <w:vertAlign w:val="superscript"/>
    </w:rPr>
  </w:style>
  <w:style w:type="character" w:styleId="723" w:customStyle="1">
    <w:name w:val="Heading 1 Char"/>
    <w:link w:val="687"/>
    <w:uiPriority w:val="9"/>
    <w:qFormat/>
    <w:rPr>
      <w:rFonts w:ascii="Arial" w:hAnsi="Arial" w:eastAsia="Arial" w:cs="Arial"/>
      <w:sz w:val="40"/>
      <w:szCs w:val="40"/>
    </w:rPr>
  </w:style>
  <w:style w:type="character" w:styleId="724" w:customStyle="1">
    <w:name w:val="Heading 5 Char"/>
    <w:link w:val="691"/>
    <w:uiPriority w:val="9"/>
    <w:qFormat/>
    <w:rPr>
      <w:rFonts w:ascii="Arial" w:hAnsi="Arial" w:eastAsia="Arial" w:cs="Arial"/>
      <w:b/>
      <w:bCs/>
      <w:sz w:val="24"/>
      <w:szCs w:val="24"/>
    </w:rPr>
  </w:style>
  <w:style w:type="character" w:styleId="725" w:customStyle="1">
    <w:name w:val="Heading 6 Char"/>
    <w:link w:val="692"/>
    <w:uiPriority w:val="9"/>
    <w:qFormat/>
    <w:rPr>
      <w:rFonts w:ascii="Arial" w:hAnsi="Arial" w:eastAsia="Arial" w:cs="Arial"/>
      <w:b/>
      <w:bCs/>
      <w:sz w:val="22"/>
      <w:szCs w:val="22"/>
    </w:rPr>
  </w:style>
  <w:style w:type="character" w:styleId="726" w:customStyle="1">
    <w:name w:val="Heading 7 Char"/>
    <w:link w:val="693"/>
    <w:uiPriority w:val="9"/>
    <w:qFormat/>
    <w:rPr>
      <w:rFonts w:ascii="Arial" w:hAnsi="Arial" w:eastAsia="Arial" w:cs="Arial"/>
      <w:b/>
      <w:bCs/>
      <w:i/>
      <w:iCs/>
      <w:sz w:val="22"/>
      <w:szCs w:val="22"/>
    </w:rPr>
  </w:style>
  <w:style w:type="character" w:styleId="727" w:customStyle="1">
    <w:name w:val="Heading 8 Char"/>
    <w:link w:val="694"/>
    <w:uiPriority w:val="9"/>
    <w:qFormat/>
    <w:rPr>
      <w:rFonts w:ascii="Arial" w:hAnsi="Arial" w:eastAsia="Arial" w:cs="Arial"/>
      <w:i/>
      <w:iCs/>
      <w:sz w:val="22"/>
      <w:szCs w:val="22"/>
    </w:rPr>
  </w:style>
  <w:style w:type="character" w:styleId="728" w:customStyle="1">
    <w:name w:val="Heading 9 Char"/>
    <w:link w:val="695"/>
    <w:uiPriority w:val="9"/>
    <w:qFormat/>
    <w:rPr>
      <w:rFonts w:ascii="Arial" w:hAnsi="Arial" w:eastAsia="Arial" w:cs="Arial"/>
      <w:i/>
      <w:iCs/>
      <w:sz w:val="21"/>
      <w:szCs w:val="21"/>
    </w:rPr>
  </w:style>
  <w:style w:type="character" w:styleId="729" w:customStyle="1">
    <w:name w:val="Endnote Text Char"/>
    <w:link w:val="705"/>
    <w:uiPriority w:val="99"/>
    <w:qFormat/>
    <w:rPr>
      <w:sz w:val="20"/>
    </w:rPr>
  </w:style>
  <w:style w:type="character" w:styleId="730" w:customStyle="1">
    <w:name w:val="Caption Char"/>
    <w:link w:val="706"/>
    <w:uiPriority w:val="99"/>
    <w:qFormat/>
  </w:style>
  <w:style w:type="character" w:styleId="731" w:customStyle="1">
    <w:name w:val="Subtitle Char"/>
    <w:link w:val="710"/>
    <w:uiPriority w:val="11"/>
    <w:qFormat/>
    <w:rPr>
      <w:sz w:val="24"/>
      <w:szCs w:val="24"/>
    </w:rPr>
  </w:style>
  <w:style w:type="character" w:styleId="732" w:customStyle="1">
    <w:name w:val="Footnote Text Char"/>
    <w:link w:val="711"/>
    <w:uiPriority w:val="99"/>
    <w:qFormat/>
    <w:rPr>
      <w:sz w:val="18"/>
    </w:rPr>
  </w:style>
  <w:style w:type="character" w:styleId="733" w:customStyle="1">
    <w:name w:val="Title Char"/>
    <w:link w:val="717"/>
    <w:uiPriority w:val="10"/>
    <w:qFormat/>
    <w:rPr>
      <w:sz w:val="48"/>
      <w:szCs w:val="48"/>
    </w:rPr>
  </w:style>
  <w:style w:type="character" w:styleId="734" w:customStyle="1">
    <w:name w:val="默认段落字体11"/>
    <w:uiPriority w:val="1"/>
    <w:unhideWhenUsed/>
    <w:qFormat/>
  </w:style>
  <w:style w:type="paragraph" w:styleId="735">
    <w:name w:val="No Spacing"/>
    <w:uiPriority w:val="1"/>
    <w:qFormat/>
    <w:pPr>
      <w:spacing w:before="0" w:after="0" w:line="240" w:lineRule="auto"/>
    </w:pPr>
    <w:rPr>
      <w:rFonts w:hint="default" w:ascii="Calibri" w:hAnsi="Calibri" w:eastAsia="宋体" w:cs="Times New Roman"/>
    </w:rPr>
  </w:style>
  <w:style w:type="paragraph" w:styleId="736">
    <w:name w:val="Quote"/>
    <w:basedOn w:val="686"/>
    <w:next w:val="686"/>
    <w:link w:val="737"/>
    <w:uiPriority w:val="29"/>
    <w:qFormat/>
    <w:pPr>
      <w:ind w:left="720" w:right="720"/>
    </w:pPr>
    <w:rPr>
      <w:i/>
    </w:rPr>
  </w:style>
  <w:style w:type="character" w:styleId="737" w:customStyle="1">
    <w:name w:val="Quote Char"/>
    <w:link w:val="736"/>
    <w:uiPriority w:val="29"/>
    <w:qFormat/>
    <w:rPr>
      <w:i/>
    </w:rPr>
  </w:style>
  <w:style w:type="paragraph" w:styleId="738">
    <w:name w:val="Intense Quote"/>
    <w:basedOn w:val="686"/>
    <w:next w:val="686"/>
    <w:link w:val="7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Intense Quote Char"/>
    <w:link w:val="738"/>
    <w:uiPriority w:val="30"/>
    <w:qFormat/>
    <w:rPr>
      <w:i/>
    </w:rPr>
  </w:style>
  <w:style w:type="table" w:styleId="740" w:customStyle="1">
    <w:name w:val="Table Grid Light"/>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41" w:customStyle="1">
    <w:name w:val="Plain Table 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2"/>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44" w:customStyle="1">
    <w:name w:val="Plain Table 4"/>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Plain Table 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6" w:customStyle="1">
    <w:name w:val="Grid Table 1 Light"/>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47" w:customStyle="1">
    <w:name w:val="Grid Table 1 Light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48" w:customStyle="1">
    <w:name w:val="Grid Table 1 Light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49" w:customStyle="1">
    <w:name w:val="Grid Table 1 Light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50" w:customStyle="1">
    <w:name w:val="Grid Table 1 Light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51" w:customStyle="1">
    <w:name w:val="Grid Table 1 Light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52" w:customStyle="1">
    <w:name w:val="Grid Table 1 Light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53" w:customStyle="1">
    <w:name w:val="Grid Table 2"/>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4" w:customStyle="1">
    <w:name w:val="Grid Table 2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5" w:customStyle="1">
    <w:name w:val="Grid Table 2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6" w:customStyle="1">
    <w:name w:val="Grid Table 2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7" w:customStyle="1">
    <w:name w:val="Grid Table 2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8" w:customStyle="1">
    <w:name w:val="Grid Table 2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9" w:customStyle="1">
    <w:name w:val="Grid Table 2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0" w:customStyle="1">
    <w:name w:val="Grid Table 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1" w:customStyle="1">
    <w:name w:val="Grid Table 3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2" w:customStyle="1">
    <w:name w:val="Grid Table 3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3" w:customStyle="1">
    <w:name w:val="Grid Table 3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4" w:customStyle="1">
    <w:name w:val="Grid Table 3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5" w:customStyle="1">
    <w:name w:val="Grid Table 3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6" w:customStyle="1">
    <w:name w:val="Grid Table 3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7" w:customStyle="1">
    <w:name w:val="Grid Table 4"/>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8" w:customStyle="1">
    <w:name w:val="Grid Table 4 - Accent 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9" w:customStyle="1">
    <w:name w:val="Grid Table 4 - Accent 2"/>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0" w:customStyle="1">
    <w:name w:val="Grid Table 4 - Accent 3"/>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1" w:customStyle="1">
    <w:name w:val="Grid Table 4 - Accent 4"/>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2" w:customStyle="1">
    <w:name w:val="Grid Table 4 - Accent 5"/>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3" w:customStyle="1">
    <w:name w:val="Grid Table 4 - Accent 6"/>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4" w:customStyle="1">
    <w:name w:val="Grid Table 5 Dark"/>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5" w:customStyle="1">
    <w:name w:val="Grid Table 5 Dark- Accent 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6" w:customStyle="1">
    <w:name w:val="Grid Table 5 Dark - Accent 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7" w:customStyle="1">
    <w:name w:val="Grid Table 5 Dark - Accent 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8" w:customStyle="1">
    <w:name w:val="Grid Table 5 Dark- Accent 4"/>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9" w:customStyle="1">
    <w:name w:val="Grid Table 5 Dark - Accent 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0" w:customStyle="1">
    <w:name w:val="Grid Table 5 Dark - Accent 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1" w:customStyle="1">
    <w:name w:val="Grid Table 6 Colorful"/>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782" w:customStyle="1">
    <w:name w:val="Grid Table 6 Colorful - Accent 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783" w:customStyle="1">
    <w:name w:val="Grid Table 6 Colorful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blStylePr>
  </w:style>
  <w:style w:type="table" w:styleId="784" w:customStyle="1">
    <w:name w:val="Grid Table 6 Colorful - Accent 3"/>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aba58"/>
        <w:sz w:val="22"/>
      </w:rPr>
      <w:tcPr>
        <w:shd w:val="clear" w:color="eaf1dd" w:fill="eaf1dd"/>
      </w:tcPr>
    </w:tblStylePr>
    <w:tblStylePr w:type="band1Vert">
      <w:tcPr>
        <w:shd w:val="clear" w:color="eaf1dd" w:fill="eaf1dd"/>
      </w:tcPr>
    </w:tblStylePr>
    <w:tblStylePr w:type="band2Horz">
      <w:rPr>
        <w:rFonts w:ascii="Arial" w:hAnsi="Arial"/>
        <w:color w:val="9aba58"/>
        <w:sz w:val="22"/>
      </w:rPr>
    </w:tblStylePr>
    <w:tblStylePr w:type="firstCol">
      <w:rPr>
        <w:b/>
        <w:color w:val="9aba58"/>
      </w:rPr>
    </w:tblStylePr>
    <w:tblStylePr w:type="firstRow">
      <w:rPr>
        <w:b/>
        <w:color w:val="9aba58"/>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aba58"/>
      </w:rPr>
    </w:tblStylePr>
    <w:tblStylePr w:type="lastRow">
      <w:rPr>
        <w:b/>
        <w:color w:val="9aba58"/>
      </w:rPr>
    </w:tblStylePr>
  </w:style>
  <w:style w:type="table" w:styleId="785" w:customStyle="1">
    <w:name w:val="Grid Table 6 Colorful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blStylePr>
  </w:style>
  <w:style w:type="table" w:styleId="786" w:customStyle="1">
    <w:name w:val="Grid Table 6 Colorful - Accent 5"/>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787" w:customStyle="1">
    <w:name w:val="Grid Table 6 Colorful - Accent 6"/>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788" w:customStyle="1">
    <w:name w:val="Grid Table 7 Colorful"/>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9" w:customStyle="1">
    <w:name w:val="Grid Table 7 Colorful - Accent 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0" w:customStyle="1">
    <w:name w:val="Grid Table 7 Colorful - Accent 2"/>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1" w:customStyle="1">
    <w:name w:val="Grid Table 7 Colorful - Accent 3"/>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aba58"/>
        <w:sz w:val="22"/>
      </w:rPr>
      <w:tcPr>
        <w:shd w:val="clear" w:color="eaf1dd" w:fill="eaf1dd"/>
      </w:tcPr>
    </w:tblStylePr>
    <w:tblStylePr w:type="band1Vert">
      <w:tcPr>
        <w:shd w:val="clear" w:color="eaf1dd" w:fill="eaf1dd"/>
      </w:tcPr>
    </w:tblStylePr>
    <w:tblStylePr w:type="band2Horz">
      <w:rPr>
        <w:rFonts w:ascii="Arial" w:hAnsi="Arial"/>
        <w:color w:val="9aba58"/>
        <w:sz w:val="22"/>
      </w:rPr>
    </w:tblStylePr>
    <w:tblStylePr w:type="firstCol">
      <w:rPr>
        <w:rFonts w:ascii="Arial" w:hAnsi="Arial"/>
        <w:i/>
        <w:color w:val="9aba58"/>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aba58"/>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aba58"/>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aba58"/>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2" w:customStyle="1">
    <w:name w:val="Grid Table 7 Colorful - Accent 4"/>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3" w:customStyle="1">
    <w:name w:val="Grid Table 7 Colorful - Accent 5"/>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4" w:customStyle="1">
    <w:name w:val="Grid Table 7 Colorful - Accent 6"/>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5" w:customStyle="1">
    <w:name w:val="List Table 1 Light"/>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6" w:customStyle="1">
    <w:name w:val="List Table 1 Light - Accent 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7" w:customStyle="1">
    <w:name w:val="List Table 1 Light - Accent 2"/>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8" w:customStyle="1">
    <w:name w:val="List Table 1 Light - Accent 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9" w:customStyle="1">
    <w:name w:val="List Table 1 Light - Accent 4"/>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0" w:customStyle="1">
    <w:name w:val="List Table 1 Light - Accent 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1" w:customStyle="1">
    <w:name w:val="List Table 1 Light - Accent 6"/>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2" w:customStyle="1">
    <w:name w:val="List Table 2"/>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03" w:customStyle="1">
    <w:name w:val="List Table 2 - Accent 1"/>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804" w:customStyle="1">
    <w:name w:val="List Table 2 - Accent 2"/>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805" w:customStyle="1">
    <w:name w:val="List Table 2 - Accent 3"/>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806" w:customStyle="1">
    <w:name w:val="List Table 2 - Accent 4"/>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807" w:customStyle="1">
    <w:name w:val="List Table 2 - Accent 5"/>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808" w:customStyle="1">
    <w:name w:val="List Table 2 - Accent 6"/>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809" w:customStyle="1">
    <w:name w:val="List Table 3"/>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0" w:customStyle="1">
    <w:name w:val="List Table 3 - Accent 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11" w:customStyle="1">
    <w:name w:val="List Table 3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12" w:customStyle="1">
    <w:name w:val="List Table 3 - Accent 3"/>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13" w:customStyle="1">
    <w:name w:val="List Table 3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14" w:customStyle="1">
    <w:name w:val="List Table 3 - Accent 5"/>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15" w:customStyle="1">
    <w:name w:val="List Table 3 - Accent 6"/>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16" w:customStyle="1">
    <w:name w:val="List Table 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7" w:customStyle="1">
    <w:name w:val="List Table 4 - Accent 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18" w:customStyle="1">
    <w:name w:val="List Table 4 - Accent 2"/>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19" w:customStyle="1">
    <w:name w:val="List Table 4 - Accent 3"/>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20" w:customStyle="1">
    <w:name w:val="List Table 4 - Accent 4"/>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21" w:customStyle="1">
    <w:name w:val="List Table 4 - Accent 5"/>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22" w:customStyle="1">
    <w:name w:val="List Table 4 - Accent 6"/>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23" w:customStyle="1">
    <w:name w:val="List Table 5 Dark"/>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824" w:customStyle="1">
    <w:name w:val="List Table 5 Dark - Accent 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825" w:customStyle="1">
    <w:name w:val="List Table 5 Dark - Accent 2"/>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826" w:customStyle="1">
    <w:name w:val="List Table 5 Dark - Accent 3"/>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827" w:customStyle="1">
    <w:name w:val="List Table 5 Dark - Accent 4"/>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828" w:customStyle="1">
    <w:name w:val="List Table 5 Dark - Accent 5"/>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829" w:customStyle="1">
    <w:name w:val="List Table 5 Dark - Accent 6"/>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830" w:customStyle="1">
    <w:name w:val="List Table 6 Colorful"/>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1" w:customStyle="1">
    <w:name w:val="List Table 6 Colorful - Accent 1"/>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2" w:customStyle="1">
    <w:name w:val="List Table 6 Colorful - Accent 2"/>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3" w:customStyle="1">
    <w:name w:val="List Table 6 Colorful - Accent 3"/>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b/>
        <w:color w:val="c2d69b"/>
      </w:rPr>
    </w:tblStylePr>
    <w:tblStylePr w:type="firstRow">
      <w:rPr>
        <w:b/>
        <w:color w:val="c2d6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69b"/>
      </w:rPr>
    </w:tblStylePr>
    <w:tblStylePr w:type="lastRow">
      <w:rPr>
        <w:b/>
        <w:color w:val="c2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4" w:customStyle="1">
    <w:name w:val="List Table 6 Colorful - Accent 4"/>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5" w:customStyle="1">
    <w:name w:val="List Table 6 Colorful - Accent 5"/>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ddc"/>
      </w:rPr>
    </w:tblStylePr>
    <w:tblStylePr w:type="lastRow">
      <w:rPr>
        <w:b/>
        <w:color w:val="92cd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6" w:customStyle="1">
    <w:name w:val="List Table 6 Colorful - Accent 6"/>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b/>
        <w:color w:val="fabf8f"/>
      </w:rPr>
    </w:tblStylePr>
    <w:tblStylePr w:type="firstRow">
      <w:rPr>
        <w:b/>
        <w:color w:val="fabf8f"/>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f"/>
      </w:rPr>
    </w:tblStylePr>
    <w:tblStylePr w:type="lastRow">
      <w:rPr>
        <w:b/>
        <w:color w:val="fabf8f"/>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7" w:customStyle="1">
    <w:name w:val="List Table 7 Colorful"/>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8" w:customStyle="1">
    <w:name w:val="List Table 7 Colorful - Accent 1"/>
    <w:uiPriority w:val="99"/>
    <w:qFormat/>
    <w:pPr>
      <w:spacing w:after="0" w:line="240" w:lineRule="auto"/>
    </w:p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9" w:customStyle="1">
    <w:name w:val="List Table 7 Colorful - Accent 2"/>
    <w:uiPriority w:val="99"/>
    <w:qFormat/>
    <w:pPr>
      <w:spacing w:after="0" w:line="240" w:lineRule="auto"/>
    </w:pPr>
    <w:tblPr>
      <w:tblBorders>
        <w:right w:val="single" w:color="D99795"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0" w:customStyle="1">
    <w:name w:val="List Table 7 Colorful - Accent 3"/>
    <w:uiPriority w:val="99"/>
    <w:qFormat/>
    <w:pPr>
      <w:spacing w:after="0" w:line="240" w:lineRule="auto"/>
    </w:pPr>
    <w:tblPr>
      <w:tblBorders>
        <w:right w:val="single" w:color="C3D69C"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1" w:customStyle="1">
    <w:name w:val="List Table 7 Colorful - Accent 4"/>
    <w:uiPriority w:val="99"/>
    <w:qFormat/>
    <w:pPr>
      <w:spacing w:after="0" w:line="240" w:lineRule="auto"/>
    </w:pPr>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2" w:customStyle="1">
    <w:name w:val="List Table 7 Colorful - Accent 5"/>
    <w:uiPriority w:val="99"/>
    <w:qFormat/>
    <w:pPr>
      <w:spacing w:after="0" w:line="240" w:lineRule="auto"/>
    </w:pPr>
    <w:tblPr>
      <w:tblBorders>
        <w:right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3" w:customStyle="1">
    <w:name w:val="List Table 7 Colorful - Accent 6"/>
    <w:uiPriority w:val="99"/>
    <w:qFormat/>
    <w:pPr>
      <w:spacing w:after="0" w:line="240" w:lineRule="auto"/>
    </w:pPr>
    <w:tblPr>
      <w:tblBorders>
        <w:right w:val="single" w:color="FAC090"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4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4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4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4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4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5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51" w:customStyle="1">
    <w:name w:val="Bordered &amp; Lined - Accent"/>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52" w:customStyle="1">
    <w:name w:val="Bordered &amp; Lined - Accent 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53" w:customStyle="1">
    <w:name w:val="Bordered &amp; Lined - Accent 2"/>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54" w:customStyle="1">
    <w:name w:val="Bordered &amp; Lined - Accent 3"/>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55" w:customStyle="1">
    <w:name w:val="Bordered &amp; Lined - Accent 4"/>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56" w:customStyle="1">
    <w:name w:val="Bordered &amp; Lined - Accent 5"/>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57" w:customStyle="1">
    <w:name w:val="Bordered &amp; Lined - Accent 6"/>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58" w:customStyle="1">
    <w:name w:val="Bordered"/>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9" w:customStyle="1">
    <w:name w:val="Bordered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0" w:customStyle="1">
    <w:name w:val="Bordered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1" w:customStyle="1">
    <w:name w:val="Bordered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2" w:customStyle="1">
    <w:name w:val="Bordered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3" w:customStyle="1">
    <w:name w:val="Bordered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4" w:customStyle="1">
    <w:name w:val="Bordered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65" w:customStyle="1">
    <w:name w:val="TOC Heading"/>
    <w:uiPriority w:val="39"/>
    <w:unhideWhenUsed/>
    <w:qFormat/>
    <w:rPr>
      <w:rFonts w:hint="default" w:ascii="Calibri" w:hAnsi="Calibri" w:eastAsia="宋体" w:cs="Times New Roman"/>
    </w:rPr>
  </w:style>
  <w:style w:type="paragraph" w:styleId="866" w:customStyle="1">
    <w:name w:val="标题 11"/>
    <w:basedOn w:val="686"/>
    <w:next w:val="686"/>
    <w:link w:val="867"/>
    <w:uiPriority w:val="0"/>
    <w:qFormat/>
    <w:pPr>
      <w:jc w:val="center"/>
      <w:keepNext/>
      <w:outlineLvl w:val="0"/>
    </w:pPr>
    <w:rPr>
      <w:rFonts w:ascii="楷体_GB2312" w:hAnsi="Times New Roman" w:eastAsia="楷体_GB2312" w:cs="Times New Roman"/>
      <w:sz w:val="28"/>
      <w:szCs w:val="28"/>
    </w:rPr>
  </w:style>
  <w:style w:type="character" w:styleId="867" w:customStyle="1">
    <w:name w:val="标题 1 字符"/>
    <w:link w:val="866"/>
    <w:uiPriority w:val="0"/>
    <w:qFormat/>
    <w:rPr>
      <w:rFonts w:ascii="楷体_GB2312" w:hAnsi="Times New Roman" w:eastAsia="楷体_GB2312" w:cs="Times New Roman"/>
      <w:sz w:val="28"/>
      <w:szCs w:val="28"/>
    </w:rPr>
  </w:style>
  <w:style w:type="paragraph" w:styleId="868" w:customStyle="1">
    <w:name w:val="标题 211"/>
    <w:basedOn w:val="686"/>
    <w:next w:val="869"/>
    <w:link w:val="87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69" w:customStyle="1">
    <w:name w:val="正文缩进1"/>
    <w:basedOn w:val="686"/>
    <w:link w:val="871"/>
    <w:uiPriority w:val="0"/>
    <w:qFormat/>
    <w:pPr>
      <w:ind w:firstLine="420"/>
    </w:pPr>
    <w:rPr>
      <w:szCs w:val="21"/>
    </w:rPr>
  </w:style>
  <w:style w:type="character" w:styleId="870" w:customStyle="1">
    <w:name w:val="标题 2 字符1"/>
    <w:link w:val="868"/>
    <w:uiPriority w:val="0"/>
    <w:qFormat/>
    <w:rPr>
      <w:rFonts w:ascii="Arial" w:hAnsi="Arial" w:eastAsia="幼圆" w:cs="Arial"/>
      <w:b/>
      <w:bCs/>
      <w:sz w:val="44"/>
      <w:szCs w:val="44"/>
    </w:rPr>
  </w:style>
  <w:style w:type="character" w:styleId="871" w:customStyle="1">
    <w:name w:val="正文缩进 字符"/>
    <w:link w:val="869"/>
    <w:uiPriority w:val="0"/>
    <w:qFormat/>
    <w:rPr>
      <w:szCs w:val="21"/>
    </w:rPr>
  </w:style>
  <w:style w:type="paragraph" w:styleId="872" w:customStyle="1">
    <w:name w:val="标题 31"/>
    <w:basedOn w:val="686"/>
    <w:next w:val="869"/>
    <w:link w:val="873"/>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873" w:customStyle="1">
    <w:name w:val="标题 3 字符"/>
    <w:link w:val="872"/>
    <w:uiPriority w:val="0"/>
    <w:qFormat/>
    <w:rPr>
      <w:rFonts w:ascii="Times New Roman" w:hAnsi="Times New Roman" w:eastAsia="宋体" w:cs="Times New Roman"/>
      <w:b/>
      <w:bCs/>
      <w:sz w:val="32"/>
      <w:szCs w:val="32"/>
    </w:rPr>
  </w:style>
  <w:style w:type="paragraph" w:styleId="874" w:customStyle="1">
    <w:name w:val="标题 41"/>
    <w:basedOn w:val="686"/>
    <w:next w:val="869"/>
    <w:link w:val="875"/>
    <w:uiPriority w:val="0"/>
    <w:qFormat/>
    <w:pPr>
      <w:keepLines/>
      <w:keepNext/>
      <w:spacing w:before="280" w:after="290" w:line="376" w:lineRule="auto"/>
      <w:outlineLvl w:val="3"/>
    </w:pPr>
    <w:rPr>
      <w:rFonts w:ascii="Arial" w:hAnsi="Arial" w:eastAsia="黑体" w:cs="Arial"/>
      <w:b/>
      <w:bCs/>
      <w:sz w:val="28"/>
      <w:szCs w:val="28"/>
    </w:rPr>
  </w:style>
  <w:style w:type="character" w:styleId="875" w:customStyle="1">
    <w:name w:val="标题 4 字符1"/>
    <w:link w:val="874"/>
    <w:uiPriority w:val="0"/>
    <w:qFormat/>
    <w:rPr>
      <w:rFonts w:ascii="Arial" w:hAnsi="Arial" w:eastAsia="黑体" w:cs="Arial"/>
      <w:b/>
      <w:bCs/>
      <w:sz w:val="28"/>
      <w:szCs w:val="28"/>
    </w:rPr>
  </w:style>
  <w:style w:type="paragraph" w:styleId="876" w:customStyle="1">
    <w:name w:val="标题 51"/>
    <w:basedOn w:val="686"/>
    <w:next w:val="869"/>
    <w:link w:val="877"/>
    <w:uiPriority w:val="0"/>
    <w:qFormat/>
    <w:pPr>
      <w:keepNext/>
      <w:outlineLvl w:val="4"/>
    </w:pPr>
    <w:rPr>
      <w:rFonts w:ascii="宋体" w:hAnsi="Times New Roman" w:eastAsia="宋体" w:cs="Times New Roman"/>
      <w:color w:val="000000"/>
      <w:sz w:val="28"/>
      <w:szCs w:val="28"/>
    </w:rPr>
  </w:style>
  <w:style w:type="character" w:styleId="877" w:customStyle="1">
    <w:name w:val="标题 5 字符"/>
    <w:link w:val="876"/>
    <w:uiPriority w:val="0"/>
    <w:qFormat/>
    <w:rPr>
      <w:rFonts w:ascii="宋体" w:hAnsi="Times New Roman" w:eastAsia="宋体" w:cs="Times New Roman"/>
      <w:color w:val="000000"/>
      <w:sz w:val="28"/>
      <w:szCs w:val="28"/>
    </w:rPr>
  </w:style>
  <w:style w:type="paragraph" w:styleId="878" w:customStyle="1">
    <w:name w:val="标题 61"/>
    <w:basedOn w:val="686"/>
    <w:next w:val="686"/>
    <w:link w:val="879"/>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879" w:customStyle="1">
    <w:name w:val="标题 6 字符"/>
    <w:link w:val="878"/>
    <w:uiPriority w:val="0"/>
    <w:qFormat/>
    <w:rPr>
      <w:rFonts w:ascii="Arial" w:hAnsi="Arial" w:eastAsia="黑体" w:cs="Times New Roman"/>
      <w:b/>
      <w:bCs/>
      <w:sz w:val="24"/>
      <w:szCs w:val="24"/>
    </w:rPr>
  </w:style>
  <w:style w:type="paragraph" w:styleId="880" w:customStyle="1">
    <w:name w:val="标题 71"/>
    <w:basedOn w:val="686"/>
    <w:next w:val="686"/>
    <w:link w:val="881"/>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881" w:customStyle="1">
    <w:name w:val="标题 7 字符"/>
    <w:link w:val="880"/>
    <w:uiPriority w:val="0"/>
    <w:qFormat/>
    <w:rPr>
      <w:rFonts w:ascii="Times New Roman" w:hAnsi="Times New Roman" w:eastAsia="宋体" w:cs="Times New Roman"/>
      <w:b/>
      <w:bCs/>
      <w:sz w:val="24"/>
      <w:szCs w:val="24"/>
    </w:rPr>
  </w:style>
  <w:style w:type="paragraph" w:styleId="882" w:customStyle="1">
    <w:name w:val="标题 81"/>
    <w:basedOn w:val="686"/>
    <w:next w:val="686"/>
    <w:link w:val="88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883" w:customStyle="1">
    <w:name w:val="标题 8 字符"/>
    <w:link w:val="882"/>
    <w:uiPriority w:val="0"/>
    <w:qFormat/>
    <w:rPr>
      <w:rFonts w:ascii="Arial" w:hAnsi="Arial" w:eastAsia="黑体" w:cs="Times New Roman"/>
      <w:sz w:val="24"/>
      <w:szCs w:val="24"/>
    </w:rPr>
  </w:style>
  <w:style w:type="paragraph" w:styleId="884" w:customStyle="1">
    <w:name w:val="标题 91"/>
    <w:basedOn w:val="686"/>
    <w:next w:val="686"/>
    <w:link w:val="88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5" w:customStyle="1">
    <w:name w:val="标题 9 字符"/>
    <w:link w:val="884"/>
    <w:uiPriority w:val="0"/>
    <w:qFormat/>
    <w:rPr>
      <w:rFonts w:ascii="Arial" w:hAnsi="Arial" w:eastAsia="黑体" w:cs="Times New Roman"/>
      <w:szCs w:val="21"/>
    </w:rPr>
  </w:style>
  <w:style w:type="character" w:styleId="886" w:customStyle="1">
    <w:name w:val="默认段落字体1"/>
    <w:uiPriority w:val="1"/>
    <w:unhideWhenUsed/>
    <w:qFormat/>
  </w:style>
  <w:style w:type="table" w:styleId="887" w:customStyle="1">
    <w:name w:val="普通表格1"/>
    <w:uiPriority w:val="99"/>
    <w:unhideWhenUsed/>
    <w:qFormat/>
    <w:tblPr/>
  </w:style>
  <w:style w:type="paragraph" w:styleId="888" w:customStyle="1">
    <w:name w:val="列表 31"/>
    <w:basedOn w:val="686"/>
    <w:uiPriority w:val="0"/>
    <w:qFormat/>
    <w:pPr>
      <w:ind w:left="100" w:hanging="200"/>
    </w:pPr>
    <w:rPr>
      <w:rFonts w:ascii="Times New Roman" w:hAnsi="Times New Roman" w:eastAsia="宋体" w:cs="Times New Roman"/>
      <w:szCs w:val="21"/>
    </w:rPr>
  </w:style>
  <w:style w:type="paragraph" w:styleId="889" w:customStyle="1">
    <w:name w:val="文档结构图1"/>
    <w:basedOn w:val="686"/>
    <w:link w:val="890"/>
    <w:uiPriority w:val="0"/>
    <w:qFormat/>
    <w:pPr>
      <w:shd w:val="clear" w:color="auto" w:fill="000080"/>
    </w:pPr>
    <w:rPr>
      <w:rFonts w:ascii="Times New Roman" w:hAnsi="Times New Roman" w:eastAsia="宋体" w:cs="Times New Roman"/>
      <w:szCs w:val="21"/>
    </w:rPr>
  </w:style>
  <w:style w:type="character" w:styleId="890" w:customStyle="1">
    <w:name w:val="文档结构图 字符"/>
    <w:link w:val="889"/>
    <w:uiPriority w:val="0"/>
    <w:semiHidden/>
    <w:qFormat/>
    <w:rPr>
      <w:rFonts w:ascii="Times New Roman" w:hAnsi="Times New Roman" w:eastAsia="宋体" w:cs="Times New Roman"/>
      <w:szCs w:val="21"/>
      <w:shd w:val="clear" w:color="auto" w:fill="000080"/>
    </w:rPr>
  </w:style>
  <w:style w:type="paragraph" w:styleId="891" w:customStyle="1">
    <w:name w:val="批注文字11"/>
    <w:basedOn w:val="686"/>
    <w:link w:val="892"/>
    <w:uiPriority w:val="99"/>
    <w:unhideWhenUsed/>
    <w:qFormat/>
    <w:pPr>
      <w:jc w:val="left"/>
    </w:pPr>
  </w:style>
  <w:style w:type="character" w:styleId="892" w:customStyle="1">
    <w:name w:val="批注文字 字符1"/>
    <w:link w:val="891"/>
    <w:uiPriority w:val="99"/>
    <w:semiHidden/>
    <w:qFormat/>
  </w:style>
  <w:style w:type="paragraph" w:styleId="893" w:customStyle="1">
    <w:name w:val="正文文本 31"/>
    <w:basedOn w:val="686"/>
    <w:link w:val="894"/>
    <w:uiPriority w:val="0"/>
    <w:qFormat/>
    <w:rPr>
      <w:rFonts w:ascii="仿宋_GB2312" w:hAnsi="Arial" w:eastAsia="仿宋_GB2312" w:cs="Times New Roman"/>
      <w:sz w:val="32"/>
      <w:szCs w:val="32"/>
    </w:rPr>
  </w:style>
  <w:style w:type="character" w:styleId="894" w:customStyle="1">
    <w:name w:val="正文文本 3 字符"/>
    <w:link w:val="893"/>
    <w:uiPriority w:val="0"/>
    <w:qFormat/>
    <w:rPr>
      <w:rFonts w:ascii="仿宋_GB2312" w:hAnsi="Arial" w:eastAsia="仿宋_GB2312" w:cs="Times New Roman"/>
      <w:sz w:val="32"/>
      <w:szCs w:val="32"/>
    </w:rPr>
  </w:style>
  <w:style w:type="paragraph" w:styleId="895" w:customStyle="1">
    <w:name w:val="正文文本1"/>
    <w:basedOn w:val="686"/>
    <w:link w:val="896"/>
    <w:uiPriority w:val="0"/>
    <w:qFormat/>
    <w:rPr>
      <w:rFonts w:ascii="楷体_GB2312" w:hAnsi="Arial" w:eastAsia="楷体_GB2312" w:cs="Times New Roman"/>
      <w:sz w:val="28"/>
      <w:szCs w:val="28"/>
    </w:rPr>
  </w:style>
  <w:style w:type="character" w:styleId="896" w:customStyle="1">
    <w:name w:val="正文文本 字符"/>
    <w:link w:val="895"/>
    <w:uiPriority w:val="0"/>
    <w:qFormat/>
    <w:rPr>
      <w:rFonts w:ascii="楷体_GB2312" w:hAnsi="Arial" w:eastAsia="楷体_GB2312" w:cs="Times New Roman"/>
      <w:sz w:val="28"/>
      <w:szCs w:val="28"/>
    </w:rPr>
  </w:style>
  <w:style w:type="paragraph" w:styleId="897" w:customStyle="1">
    <w:name w:val="正文文本缩进1"/>
    <w:basedOn w:val="686"/>
    <w:link w:val="898"/>
    <w:uiPriority w:val="0"/>
    <w:unhideWhenUsed/>
    <w:qFormat/>
    <w:pPr>
      <w:ind w:left="420"/>
      <w:spacing w:after="120"/>
    </w:pPr>
  </w:style>
  <w:style w:type="character" w:styleId="898" w:customStyle="1">
    <w:name w:val="正文文本缩进 字符"/>
    <w:link w:val="897"/>
    <w:uiPriority w:val="99"/>
    <w:semiHidden/>
    <w:qFormat/>
  </w:style>
  <w:style w:type="paragraph" w:styleId="899" w:customStyle="1">
    <w:name w:val="列表 21"/>
    <w:basedOn w:val="686"/>
    <w:uiPriority w:val="0"/>
    <w:qFormat/>
    <w:pPr>
      <w:ind w:left="100" w:hanging="200"/>
    </w:pPr>
    <w:rPr>
      <w:rFonts w:ascii="Times New Roman" w:hAnsi="Times New Roman" w:eastAsia="宋体" w:cs="Times New Roman"/>
      <w:szCs w:val="21"/>
    </w:rPr>
  </w:style>
  <w:style w:type="paragraph" w:styleId="900" w:customStyle="1">
    <w:name w:val="纯文本1"/>
    <w:basedOn w:val="686"/>
    <w:link w:val="901"/>
    <w:uiPriority w:val="0"/>
    <w:qFormat/>
    <w:rPr>
      <w:rFonts w:ascii="宋体" w:hAnsi="Courier New" w:eastAsia="宋体" w:cs="Courier New"/>
      <w:szCs w:val="21"/>
    </w:rPr>
  </w:style>
  <w:style w:type="character" w:styleId="901" w:customStyle="1">
    <w:name w:val="纯文本 字符"/>
    <w:link w:val="900"/>
    <w:uiPriority w:val="0"/>
    <w:qFormat/>
    <w:rPr>
      <w:rFonts w:ascii="宋体" w:hAnsi="Courier New" w:eastAsia="宋体" w:cs="Courier New"/>
      <w:szCs w:val="21"/>
    </w:rPr>
  </w:style>
  <w:style w:type="paragraph" w:styleId="902" w:customStyle="1">
    <w:name w:val="日期1"/>
    <w:basedOn w:val="686"/>
    <w:next w:val="686"/>
    <w:link w:val="903"/>
    <w:uiPriority w:val="0"/>
    <w:qFormat/>
    <w:rPr>
      <w:rFonts w:ascii="Times New Roman" w:hAnsi="Times New Roman" w:eastAsia="宋体" w:cs="Times New Roman"/>
      <w:sz w:val="24"/>
      <w:szCs w:val="24"/>
    </w:rPr>
  </w:style>
  <w:style w:type="character" w:styleId="903" w:customStyle="1">
    <w:name w:val="日期 字符"/>
    <w:link w:val="902"/>
    <w:uiPriority w:val="0"/>
    <w:qFormat/>
    <w:rPr>
      <w:rFonts w:ascii="Times New Roman" w:hAnsi="Times New Roman" w:eastAsia="宋体" w:cs="Times New Roman"/>
      <w:sz w:val="24"/>
      <w:szCs w:val="24"/>
    </w:rPr>
  </w:style>
  <w:style w:type="paragraph" w:styleId="904" w:customStyle="1">
    <w:name w:val="正文文本缩进 21"/>
    <w:basedOn w:val="686"/>
    <w:link w:val="905"/>
    <w:uiPriority w:val="0"/>
    <w:qFormat/>
    <w:pPr>
      <w:ind w:left="630" w:firstLine="645"/>
    </w:pPr>
    <w:rPr>
      <w:rFonts w:ascii="Arial" w:hAnsi="Arial" w:eastAsia="仿宋_GB2312" w:cs="Arial"/>
      <w:sz w:val="32"/>
      <w:szCs w:val="32"/>
    </w:rPr>
  </w:style>
  <w:style w:type="character" w:styleId="905" w:customStyle="1">
    <w:name w:val="正文文本缩进 2 字符"/>
    <w:link w:val="904"/>
    <w:uiPriority w:val="0"/>
    <w:qFormat/>
    <w:rPr>
      <w:rFonts w:ascii="Arial" w:hAnsi="Arial" w:eastAsia="仿宋_GB2312" w:cs="Arial"/>
      <w:sz w:val="32"/>
      <w:szCs w:val="32"/>
    </w:rPr>
  </w:style>
  <w:style w:type="paragraph" w:styleId="906" w:customStyle="1">
    <w:name w:val="批注框文本1"/>
    <w:basedOn w:val="686"/>
    <w:link w:val="907"/>
    <w:uiPriority w:val="0"/>
    <w:qFormat/>
    <w:rPr>
      <w:rFonts w:ascii="Times New Roman" w:hAnsi="Times New Roman" w:eastAsia="宋体" w:cs="Times New Roman"/>
      <w:sz w:val="18"/>
      <w:szCs w:val="18"/>
    </w:rPr>
  </w:style>
  <w:style w:type="character" w:styleId="907" w:customStyle="1">
    <w:name w:val="批注框文本 字符"/>
    <w:link w:val="906"/>
    <w:uiPriority w:val="0"/>
    <w:semiHidden/>
    <w:qFormat/>
    <w:rPr>
      <w:rFonts w:ascii="Times New Roman" w:hAnsi="Times New Roman" w:eastAsia="宋体" w:cs="Times New Roman"/>
      <w:sz w:val="18"/>
      <w:szCs w:val="18"/>
    </w:rPr>
  </w:style>
  <w:style w:type="paragraph" w:styleId="908" w:customStyle="1">
    <w:name w:val="页脚1"/>
    <w:basedOn w:val="686"/>
    <w:link w:val="909"/>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09" w:customStyle="1">
    <w:name w:val="页脚 字符"/>
    <w:link w:val="908"/>
    <w:uiPriority w:val="0"/>
    <w:qFormat/>
    <w:rPr>
      <w:rFonts w:ascii="Times New Roman" w:hAnsi="Times New Roman" w:eastAsia="宋体" w:cs="Times New Roman"/>
      <w:sz w:val="18"/>
      <w:szCs w:val="18"/>
    </w:rPr>
  </w:style>
  <w:style w:type="paragraph" w:styleId="910" w:customStyle="1">
    <w:name w:val="页眉1"/>
    <w:basedOn w:val="686"/>
    <w:link w:val="91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1" w:customStyle="1">
    <w:name w:val="页眉 字符"/>
    <w:link w:val="910"/>
    <w:uiPriority w:val="0"/>
    <w:qFormat/>
    <w:rPr>
      <w:rFonts w:ascii="Times New Roman" w:hAnsi="Times New Roman" w:eastAsia="宋体" w:cs="Times New Roman"/>
      <w:sz w:val="18"/>
      <w:szCs w:val="18"/>
    </w:rPr>
  </w:style>
  <w:style w:type="paragraph" w:styleId="912" w:customStyle="1">
    <w:name w:val="列表1"/>
    <w:basedOn w:val="686"/>
    <w:uiPriority w:val="0"/>
    <w:qFormat/>
    <w:pPr>
      <w:ind w:left="200" w:hanging="200"/>
    </w:pPr>
    <w:rPr>
      <w:rFonts w:ascii="Times New Roman" w:hAnsi="Times New Roman" w:eastAsia="宋体" w:cs="Times New Roman"/>
      <w:szCs w:val="21"/>
    </w:rPr>
  </w:style>
  <w:style w:type="paragraph" w:styleId="913" w:customStyle="1">
    <w:name w:val="正文文本缩进 31"/>
    <w:basedOn w:val="686"/>
    <w:link w:val="914"/>
    <w:uiPriority w:val="0"/>
    <w:qFormat/>
    <w:pPr>
      <w:ind w:left="645" w:firstLine="645"/>
    </w:pPr>
    <w:rPr>
      <w:rFonts w:ascii="Arial" w:hAnsi="Arial" w:eastAsia="仿宋_GB2312" w:cs="Arial"/>
      <w:color w:val="ffff00"/>
      <w:sz w:val="32"/>
      <w:szCs w:val="32"/>
    </w:rPr>
  </w:style>
  <w:style w:type="character" w:styleId="914" w:customStyle="1">
    <w:name w:val="正文文本缩进 3 字符"/>
    <w:link w:val="913"/>
    <w:uiPriority w:val="0"/>
    <w:qFormat/>
    <w:rPr>
      <w:rFonts w:ascii="Arial" w:hAnsi="Arial" w:eastAsia="仿宋_GB2312" w:cs="Arial"/>
      <w:color w:val="ffff00"/>
      <w:sz w:val="32"/>
      <w:szCs w:val="32"/>
    </w:rPr>
  </w:style>
  <w:style w:type="paragraph" w:styleId="915" w:customStyle="1">
    <w:name w:val="图表目录11"/>
    <w:basedOn w:val="686"/>
    <w:next w:val="686"/>
    <w:uiPriority w:val="0"/>
    <w:qFormat/>
    <w:pPr>
      <w:ind w:left="840" w:hanging="420"/>
    </w:pPr>
    <w:rPr>
      <w:rFonts w:ascii="Times New Roman" w:hAnsi="Times New Roman" w:eastAsia="宋体" w:cs="Times New Roman"/>
      <w:szCs w:val="21"/>
    </w:rPr>
  </w:style>
  <w:style w:type="paragraph" w:styleId="916" w:customStyle="1">
    <w:name w:val="正文文本 21"/>
    <w:basedOn w:val="686"/>
    <w:link w:val="917"/>
    <w:uiPriority w:val="0"/>
    <w:qFormat/>
    <w:pPr>
      <w:jc w:val="center"/>
      <w:widowControl/>
    </w:pPr>
    <w:rPr>
      <w:rFonts w:ascii="楷体_GB2312" w:hAnsi="Times New Roman" w:eastAsia="楷体_GB2312" w:cs="Times New Roman"/>
      <w:sz w:val="28"/>
      <w:szCs w:val="28"/>
    </w:rPr>
  </w:style>
  <w:style w:type="character" w:styleId="917" w:customStyle="1">
    <w:name w:val="正文文本 2 字符"/>
    <w:link w:val="916"/>
    <w:uiPriority w:val="0"/>
    <w:qFormat/>
    <w:rPr>
      <w:rFonts w:ascii="楷体_GB2312" w:hAnsi="Times New Roman" w:eastAsia="楷体_GB2312" w:cs="Times New Roman"/>
      <w:sz w:val="28"/>
      <w:szCs w:val="28"/>
    </w:rPr>
  </w:style>
  <w:style w:type="paragraph" w:styleId="918" w:customStyle="1">
    <w:name w:val="普通(网站)1"/>
    <w:basedOn w:val="686"/>
    <w:uiPriority w:val="0"/>
    <w:qFormat/>
    <w:pPr>
      <w:jc w:val="left"/>
      <w:spacing w:before="100" w:beforeAutospacing="1" w:after="100" w:afterAutospacing="1"/>
      <w:widowControl/>
    </w:pPr>
    <w:rPr>
      <w:rFonts w:ascii="宋体" w:hAnsi="宋体" w:eastAsia="宋体" w:cs="宋体"/>
      <w:sz w:val="24"/>
      <w:szCs w:val="24"/>
    </w:rPr>
  </w:style>
  <w:style w:type="paragraph" w:styleId="919" w:customStyle="1">
    <w:name w:val="索引 11"/>
    <w:basedOn w:val="686"/>
    <w:next w:val="686"/>
    <w:uiPriority w:val="0"/>
    <w:qFormat/>
    <w:pPr>
      <w:spacing w:line="240" w:lineRule="atLeast"/>
    </w:pPr>
    <w:rPr>
      <w:rFonts w:ascii="Times New Roman" w:hAnsi="Times New Roman" w:eastAsia="宋体" w:cs="Times New Roman"/>
      <w:b/>
      <w:bCs/>
      <w:szCs w:val="21"/>
    </w:rPr>
  </w:style>
  <w:style w:type="paragraph" w:styleId="920" w:customStyle="1">
    <w:name w:val="批注主题1"/>
    <w:basedOn w:val="891"/>
    <w:next w:val="891"/>
    <w:link w:val="921"/>
    <w:uiPriority w:val="0"/>
    <w:qFormat/>
    <w:rPr>
      <w:rFonts w:ascii="Times New Roman" w:hAnsi="Times New Roman" w:eastAsia="宋体" w:cs="Times New Roman"/>
      <w:b/>
      <w:bCs/>
      <w:szCs w:val="21"/>
    </w:rPr>
  </w:style>
  <w:style w:type="character" w:styleId="921" w:customStyle="1">
    <w:name w:val="批注主题 字符"/>
    <w:link w:val="920"/>
    <w:uiPriority w:val="0"/>
    <w:semiHidden/>
    <w:qFormat/>
    <w:rPr>
      <w:rFonts w:ascii="Times New Roman" w:hAnsi="Times New Roman" w:eastAsia="宋体" w:cs="Times New Roman"/>
      <w:b/>
      <w:bCs/>
      <w:szCs w:val="21"/>
    </w:rPr>
  </w:style>
  <w:style w:type="paragraph" w:styleId="922" w:customStyle="1">
    <w:name w:val="正文文本首行缩进"/>
    <w:basedOn w:val="686"/>
    <w:link w:val="923"/>
    <w:uiPriority w:val="0"/>
    <w:qFormat/>
    <w:pPr>
      <w:ind w:firstLine="200"/>
      <w:spacing w:line="360" w:lineRule="auto"/>
    </w:pPr>
    <w:rPr>
      <w:rFonts w:ascii="仿宋_GB2312" w:hAnsi="Times New Roman" w:eastAsia="仿宋_GB2312" w:cs="Times New Roman"/>
      <w:sz w:val="30"/>
      <w:szCs w:val="30"/>
    </w:rPr>
  </w:style>
  <w:style w:type="character" w:styleId="923" w:customStyle="1">
    <w:name w:val="正文文本首行缩进 字符"/>
    <w:link w:val="922"/>
    <w:uiPriority w:val="0"/>
    <w:qFormat/>
    <w:rPr>
      <w:rFonts w:ascii="仿宋_GB2312" w:hAnsi="Times New Roman" w:eastAsia="仿宋_GB2312" w:cs="Times New Roman"/>
      <w:sz w:val="30"/>
      <w:szCs w:val="30"/>
    </w:rPr>
  </w:style>
  <w:style w:type="paragraph" w:styleId="924" w:customStyle="1">
    <w:name w:val="正文文本首行缩进 2"/>
    <w:basedOn w:val="897"/>
    <w:link w:val="925"/>
    <w:uiPriority w:val="0"/>
    <w:qFormat/>
    <w:pPr>
      <w:ind w:left="0" w:firstLine="420"/>
      <w:spacing w:after="0" w:line="360" w:lineRule="auto"/>
    </w:pPr>
    <w:rPr>
      <w:rFonts w:ascii="宋体" w:hAnsi="宋体" w:eastAsia="宋体" w:cs="Times New Roman"/>
      <w:szCs w:val="20"/>
    </w:rPr>
  </w:style>
  <w:style w:type="character" w:styleId="925" w:customStyle="1">
    <w:name w:val="正文文本首行缩进 2 字符"/>
    <w:link w:val="924"/>
    <w:uiPriority w:val="0"/>
    <w:qFormat/>
    <w:rPr>
      <w:rFonts w:ascii="宋体" w:hAnsi="宋体" w:eastAsia="宋体" w:cs="Times New Roman"/>
      <w:szCs w:val="20"/>
    </w:rPr>
  </w:style>
  <w:style w:type="table" w:styleId="926" w:customStyle="1">
    <w:name w:val="网格型1"/>
    <w:basedOn w:val="887"/>
    <w:uiPriority w:val="0"/>
    <w:qFormat/>
    <w:pPr>
      <w:jc w:val="both"/>
      <w:widowControl w:val="off"/>
    </w:pPr>
    <w:rPr>
      <w:rFonts w:ascii="Times New Roman" w:hAnsi="Times New Roman" w:eastAsia="宋体" w:cs="Times New Roman"/>
      <w:sz w:val="20"/>
      <w:szCs w:val="20"/>
    </w:rPr>
    <w:tblPr/>
  </w:style>
  <w:style w:type="character" w:styleId="927" w:customStyle="1">
    <w:name w:val="要点1"/>
    <w:uiPriority w:val="0"/>
    <w:qFormat/>
    <w:rPr>
      <w:b/>
      <w:bCs/>
    </w:rPr>
  </w:style>
  <w:style w:type="character" w:styleId="928" w:customStyle="1">
    <w:name w:val="页码1"/>
    <w:uiPriority w:val="0"/>
    <w:qFormat/>
  </w:style>
  <w:style w:type="character" w:styleId="929" w:customStyle="1">
    <w:name w:val="访问过的超链接"/>
    <w:uiPriority w:val="0"/>
    <w:qFormat/>
    <w:rPr>
      <w:color w:val="800080"/>
      <w:u w:val="single"/>
    </w:rPr>
  </w:style>
  <w:style w:type="character" w:styleId="930" w:customStyle="1">
    <w:name w:val="超链接1"/>
    <w:uiPriority w:val="99"/>
    <w:qFormat/>
    <w:rPr>
      <w:color w:val="0000ff"/>
      <w:u w:val="single"/>
    </w:rPr>
  </w:style>
  <w:style w:type="character" w:styleId="931" w:customStyle="1">
    <w:name w:val="批注引用1"/>
    <w:uiPriority w:val="0"/>
    <w:qFormat/>
    <w:rPr>
      <w:sz w:val="21"/>
      <w:szCs w:val="21"/>
    </w:rPr>
  </w:style>
  <w:style w:type="character" w:styleId="932" w:customStyle="1">
    <w:name w:val="font5 Char"/>
    <w:uiPriority w:val="0"/>
    <w:qFormat/>
    <w:rPr>
      <w:rFonts w:ascii="宋体" w:hAnsi="宋体" w:eastAsia="宋体"/>
      <w:sz w:val="28"/>
      <w:szCs w:val="28"/>
      <w:lang w:val="en-US" w:eastAsia="zh-CN" w:bidi="ar-SA"/>
    </w:rPr>
  </w:style>
  <w:style w:type="character" w:styleId="933" w:customStyle="1">
    <w:name w:val="二级目录 Char"/>
    <w:link w:val="934"/>
    <w:uiPriority w:val="0"/>
    <w:qFormat/>
    <w:rPr>
      <w:b/>
      <w:sz w:val="30"/>
      <w:szCs w:val="28"/>
    </w:rPr>
  </w:style>
  <w:style w:type="paragraph" w:styleId="934" w:customStyle="1">
    <w:name w:val="二级目录"/>
    <w:next w:val="686"/>
    <w:link w:val="933"/>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35" w:customStyle="1">
    <w:name w:val="列出段落 Char"/>
    <w:link w:val="936"/>
    <w:uiPriority w:val="0"/>
    <w:qFormat/>
    <w:rPr>
      <w:rFonts w:ascii="Calibri" w:hAnsi="Calibri"/>
      <w:sz w:val="24"/>
      <w:szCs w:val="24"/>
      <w:lang w:eastAsia="en-US" w:bidi="en-US"/>
    </w:rPr>
  </w:style>
  <w:style w:type="paragraph" w:styleId="936" w:customStyle="1">
    <w:name w:val="列出段落1"/>
    <w:basedOn w:val="686"/>
    <w:link w:val="935"/>
    <w:uiPriority w:val="0"/>
    <w:qFormat/>
    <w:pPr>
      <w:contextualSpacing/>
      <w:ind w:left="720"/>
      <w:jc w:val="left"/>
      <w:widowControl/>
    </w:pPr>
    <w:rPr>
      <w:rFonts w:ascii="Calibri" w:hAnsi="Calibri"/>
      <w:sz w:val="24"/>
      <w:szCs w:val="24"/>
      <w:lang w:eastAsia="en-US" w:bidi="en-US"/>
    </w:rPr>
  </w:style>
  <w:style w:type="paragraph" w:styleId="937" w:customStyle="1">
    <w:name w:val="Body Text(ch)"/>
    <w:basedOn w:val="686"/>
    <w:next w:val="895"/>
    <w:uiPriority w:val="0"/>
    <w:qFormat/>
    <w:pPr>
      <w:spacing w:after="120"/>
    </w:pPr>
    <w:rPr>
      <w:rFonts w:ascii="宋体" w:hAnsi="Arial" w:eastAsia="宋体" w:cs="Times New Roman"/>
      <w:bCs/>
      <w:iCs/>
      <w:szCs w:val="24"/>
    </w:rPr>
  </w:style>
  <w:style w:type="paragraph" w:styleId="938" w:customStyle="1">
    <w:name w:val="xl27"/>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39" w:customStyle="1">
    <w:name w:val="xl26"/>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0" w:customStyle="1">
    <w:name w:val="Char"/>
    <w:basedOn w:val="686"/>
    <w:uiPriority w:val="0"/>
    <w:qFormat/>
    <w:pPr>
      <w:ind w:firstLine="200"/>
      <w:tabs>
        <w:tab w:val="left" w:pos="360" w:leader="none"/>
      </w:tabs>
    </w:pPr>
    <w:rPr>
      <w:rFonts w:ascii="Times New Roman" w:hAnsi="Times New Roman" w:eastAsia="宋体" w:cs="Times New Roman"/>
      <w:sz w:val="28"/>
      <w:szCs w:val="30"/>
    </w:rPr>
  </w:style>
  <w:style w:type="paragraph" w:styleId="941" w:customStyle="1">
    <w:name w:val=" Char"/>
    <w:basedOn w:val="889"/>
    <w:uiPriority w:val="0"/>
    <w:qFormat/>
    <w:rPr>
      <w:rFonts w:ascii="Tahoma" w:hAnsi="Tahoma"/>
      <w:sz w:val="24"/>
      <w:szCs w:val="24"/>
    </w:rPr>
  </w:style>
  <w:style w:type="paragraph" w:styleId="942" w:customStyle="1">
    <w:name w:val="普通正文"/>
    <w:basedOn w:val="686"/>
    <w:uiPriority w:val="0"/>
    <w:qFormat/>
    <w:pPr>
      <w:ind w:firstLine="480"/>
      <w:jc w:val="left"/>
      <w:spacing w:before="120" w:after="120" w:line="360" w:lineRule="auto"/>
    </w:pPr>
    <w:rPr>
      <w:rFonts w:ascii="Arial" w:hAnsi="Arial" w:eastAsia="宋体" w:cs="Times New Roman"/>
      <w:sz w:val="24"/>
      <w:szCs w:val="24"/>
    </w:rPr>
  </w:style>
  <w:style w:type="paragraph" w:styleId="943" w:customStyle="1">
    <w:name w:val="table_lines"/>
    <w:basedOn w:val="686"/>
    <w:uiPriority w:val="0"/>
    <w:qFormat/>
    <w:pPr>
      <w:jc w:val="left"/>
      <w:widowControl/>
    </w:pPr>
    <w:rPr>
      <w:rFonts w:ascii="Times New Roman" w:hAnsi="Times New Roman" w:eastAsia="宋体" w:cs="Times New Roman"/>
      <w:sz w:val="20"/>
      <w:szCs w:val="20"/>
      <w:lang w:val="de-DE" w:eastAsia="de-DE"/>
    </w:rPr>
  </w:style>
  <w:style w:type="paragraph" w:styleId="94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45" w:customStyle="1">
    <w:name w:val="font7"/>
    <w:basedOn w:val="686"/>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46" w:customStyle="1">
    <w:name w:val=" Char Char Char Char"/>
    <w:basedOn w:val="889"/>
    <w:uiPriority w:val="0"/>
    <w:qFormat/>
    <w:pPr>
      <w:spacing w:line="360" w:lineRule="auto"/>
    </w:pPr>
    <w:rPr>
      <w:rFonts w:ascii="Tahoma" w:hAnsi="Tahoma"/>
      <w:sz w:val="24"/>
      <w:szCs w:val="24"/>
    </w:rPr>
  </w:style>
  <w:style w:type="paragraph" w:styleId="947" w:customStyle="1">
    <w:name w:val="列表段落"/>
    <w:basedOn w:val="686"/>
    <w:uiPriority w:val="0"/>
    <w:qFormat/>
    <w:pPr>
      <w:contextualSpacing/>
      <w:ind w:left="720"/>
      <w:jc w:val="left"/>
      <w:widowControl/>
    </w:pPr>
    <w:rPr>
      <w:rFonts w:ascii="Calibri" w:hAnsi="Calibri" w:eastAsia="宋体" w:cs="Times New Roman"/>
      <w:sz w:val="24"/>
      <w:szCs w:val="24"/>
      <w:lang w:eastAsia="en-US" w:bidi="en-US"/>
    </w:rPr>
  </w:style>
  <w:style w:type="paragraph" w:styleId="948" w:customStyle="1">
    <w:name w:val="4"/>
    <w:basedOn w:val="686"/>
    <w:next w:val="913"/>
    <w:uiPriority w:val="0"/>
    <w:qFormat/>
    <w:pPr>
      <w:ind w:firstLine="420"/>
      <w:spacing w:line="360" w:lineRule="auto"/>
    </w:pPr>
    <w:rPr>
      <w:rFonts w:ascii="Times New Roman" w:hAnsi="Times New Roman" w:eastAsia="宋体" w:cs="Times New Roman"/>
      <w:color w:val="ff0000"/>
      <w:sz w:val="24"/>
      <w:szCs w:val="24"/>
    </w:rPr>
  </w:style>
  <w:style w:type="paragraph" w:styleId="949" w:customStyle="1">
    <w:name w:val="普通 (Web)"/>
    <w:basedOn w:val="686"/>
    <w:uiPriority w:val="0"/>
    <w:qFormat/>
    <w:pPr>
      <w:jc w:val="left"/>
      <w:spacing w:before="100" w:beforeAutospacing="1" w:after="100" w:afterAutospacing="1"/>
      <w:widowControl/>
    </w:pPr>
    <w:rPr>
      <w:rFonts w:ascii="宋体" w:hAnsi="宋体" w:eastAsia="宋体" w:cs="Times New Roman"/>
      <w:sz w:val="24"/>
      <w:szCs w:val="24"/>
    </w:rPr>
  </w:style>
  <w:style w:type="paragraph" w:styleId="950" w:customStyle="1">
    <w:name w:val=" Char Char Char Char Char Char Char Char Char Char"/>
    <w:basedOn w:val="686"/>
    <w:uiPriority w:val="0"/>
    <w:qFormat/>
    <w:pPr>
      <w:spacing w:line="360" w:lineRule="auto"/>
    </w:pPr>
    <w:rPr>
      <w:rFonts w:ascii="Times New Roman" w:hAnsi="Times New Roman" w:eastAsia="宋体" w:cs="Times New Roman"/>
      <w:sz w:val="24"/>
      <w:szCs w:val="20"/>
    </w:rPr>
  </w:style>
  <w:style w:type="paragraph" w:styleId="951" w:customStyle="1">
    <w:name w:val="样式1"/>
    <w:basedOn w:val="686"/>
    <w:uiPriority w:val="0"/>
    <w:qFormat/>
    <w:pPr>
      <w:numPr>
        <w:ilvl w:val="0"/>
        <w:numId w:val="3"/>
      </w:numPr>
    </w:pPr>
    <w:rPr>
      <w:rFonts w:ascii="宋体" w:hAnsi="宋体" w:eastAsia="宋体" w:cs="Times New Roman"/>
      <w:szCs w:val="21"/>
    </w:rPr>
  </w:style>
  <w:style w:type="paragraph" w:styleId="952" w:customStyle="1">
    <w:name w:val="font6"/>
    <w:basedOn w:val="686"/>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53" w:customStyle="1">
    <w:name w:val="xl25"/>
    <w:basedOn w:val="68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4" w:customStyle="1">
    <w:name w:val="图标"/>
    <w:basedOn w:val="686"/>
    <w:next w:val="68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55" w:customStyle="1">
    <w:name w:val="标题3"/>
    <w:basedOn w:val="686"/>
    <w:next w:val="686"/>
    <w:uiPriority w:val="0"/>
    <w:qFormat/>
    <w:pPr>
      <w:ind w:firstLine="624"/>
      <w:spacing w:line="590" w:lineRule="atLeast"/>
    </w:pPr>
    <w:rPr>
      <w:rFonts w:ascii="方正黑体_GBK" w:hAnsi="Times New Roman" w:eastAsia="方正黑体_GBK" w:cs="Times New Roman"/>
      <w:sz w:val="32"/>
      <w:szCs w:val="32"/>
    </w:rPr>
  </w:style>
  <w:style w:type="paragraph" w:styleId="956" w:customStyle="1">
    <w:name w:val="xl24"/>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customStyle="1">
    <w:name w:val="xl29"/>
    <w:basedOn w:val="686"/>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58" w:customStyle="1">
    <w:name w:val="Char Char Char Char Char Char Char Char"/>
    <w:basedOn w:val="686"/>
    <w:uiPriority w:val="0"/>
    <w:qFormat/>
    <w:pPr>
      <w:jc w:val="left"/>
      <w:spacing w:after="160" w:line="240" w:lineRule="exact"/>
      <w:widowControl/>
    </w:pPr>
    <w:rPr>
      <w:rFonts w:ascii="Verdana" w:hAnsi="Verdana" w:eastAsia="宋体" w:cs="Times New Roman"/>
      <w:sz w:val="20"/>
      <w:szCs w:val="20"/>
      <w:lang w:eastAsia="en-US"/>
    </w:rPr>
  </w:style>
  <w:style w:type="paragraph" w:styleId="959" w:customStyle="1">
    <w:name w:val="xl28"/>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60" w:customStyle="1">
    <w:name w:val=" Char Char Char Char Char Char Char Char"/>
    <w:basedOn w:val="686"/>
    <w:uiPriority w:val="0"/>
    <w:qFormat/>
    <w:pPr>
      <w:jc w:val="left"/>
      <w:spacing w:after="160" w:line="240" w:lineRule="exact"/>
      <w:widowControl/>
    </w:pPr>
    <w:rPr>
      <w:rFonts w:ascii="Verdana" w:hAnsi="Verdana" w:eastAsia="宋体" w:cs="Times New Roman"/>
      <w:sz w:val="20"/>
      <w:szCs w:val="20"/>
      <w:lang w:eastAsia="en-US"/>
    </w:rPr>
  </w:style>
  <w:style w:type="paragraph" w:styleId="961" w:customStyle="1">
    <w:name w:val="xl30"/>
    <w:basedOn w:val="686"/>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62" w:customStyle="1">
    <w:name w:val="Char Char Char Char"/>
    <w:basedOn w:val="889"/>
    <w:uiPriority w:val="0"/>
    <w:qFormat/>
    <w:pPr>
      <w:spacing w:line="360" w:lineRule="auto"/>
    </w:pPr>
    <w:rPr>
      <w:rFonts w:ascii="Tahoma" w:hAnsi="Tahoma"/>
      <w:sz w:val="24"/>
      <w:szCs w:val="24"/>
    </w:rPr>
  </w:style>
  <w:style w:type="paragraph" w:styleId="963" w:customStyle="1">
    <w:name w:val="table_1stline"/>
    <w:basedOn w:val="686"/>
    <w:uiPriority w:val="0"/>
    <w:qFormat/>
    <w:pPr>
      <w:jc w:val="left"/>
      <w:spacing w:before="120"/>
      <w:widowControl/>
    </w:pPr>
    <w:rPr>
      <w:rFonts w:ascii="Times New Roman" w:hAnsi="Times New Roman" w:eastAsia="宋体" w:cs="Times New Roman"/>
      <w:bCs/>
      <w:sz w:val="20"/>
      <w:szCs w:val="20"/>
      <w:lang w:val="de-DE" w:eastAsia="de-DE"/>
    </w:rPr>
  </w:style>
  <w:style w:type="paragraph" w:styleId="964" w:customStyle="1">
    <w:name w:val="font5"/>
    <w:basedOn w:val="686"/>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65" w:customStyle="1">
    <w:name w:val="标题1"/>
    <w:basedOn w:val="686"/>
    <w:next w:val="686"/>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66" w:customStyle="1">
    <w:name w:val="修订"/>
    <w:uiPriority w:val="0"/>
    <w:qFormat/>
    <w:rPr>
      <w:rFonts w:hint="default" w:ascii="Times New Roman" w:hAnsi="Times New Roman" w:eastAsia="宋体" w:cs="Times New Roman"/>
      <w:sz w:val="21"/>
      <w:szCs w:val="21"/>
      <w:lang w:val="en-US" w:eastAsia="zh-CN" w:bidi="ar-SA"/>
    </w:rPr>
  </w:style>
  <w:style w:type="paragraph" w:styleId="967" w:customStyle="1">
    <w:name w:val="无间隔"/>
    <w:link w:val="968"/>
    <w:uiPriority w:val="0"/>
    <w:qFormat/>
    <w:pPr>
      <w:jc w:val="both"/>
      <w:widowControl w:val="off"/>
    </w:pPr>
    <w:rPr>
      <w:rFonts w:hint="default" w:ascii="Times New Roman" w:hAnsi="Times New Roman" w:eastAsia="宋体" w:cs="Times New Roman"/>
      <w:sz w:val="21"/>
      <w:szCs w:val="21"/>
      <w:lang w:val="en-US" w:eastAsia="zh-CN" w:bidi="ar-SA"/>
    </w:rPr>
  </w:style>
  <w:style w:type="character" w:styleId="968" w:customStyle="1">
    <w:name w:val="无间隔 字符"/>
    <w:link w:val="967"/>
    <w:uiPriority w:val="0"/>
    <w:qFormat/>
    <w:rPr>
      <w:rFonts w:ascii="Times New Roman" w:hAnsi="Times New Roman"/>
      <w:sz w:val="21"/>
      <w:szCs w:val="21"/>
    </w:rPr>
  </w:style>
  <w:style w:type="paragraph" w:styleId="969" w:customStyle="1">
    <w:name w:val="标题 21"/>
    <w:basedOn w:val="686"/>
    <w:next w:val="970"/>
    <w:link w:val="971"/>
    <w:uiPriority w:val="0"/>
    <w:qFormat/>
    <w:pPr>
      <w:keepLines/>
      <w:keepNext/>
      <w:spacing w:before="260" w:after="260" w:line="413" w:lineRule="auto"/>
      <w:outlineLvl w:val="1"/>
    </w:pPr>
    <w:rPr>
      <w:rFonts w:ascii="Arial" w:hAnsi="Arial" w:eastAsia="黑体"/>
      <w:b/>
      <w:sz w:val="32"/>
      <w:szCs w:val="20"/>
    </w:rPr>
  </w:style>
  <w:style w:type="paragraph" w:styleId="970" w:customStyle="1">
    <w:name w:val="Normal_20_0"/>
    <w:next w:val="895"/>
    <w:uiPriority w:val="0"/>
    <w:qFormat/>
    <w:pPr>
      <w:ind w:firstLine="420"/>
      <w:spacing w:line="312" w:lineRule="auto"/>
      <w:widowControl w:val="off"/>
    </w:pPr>
    <w:rPr>
      <w:rFonts w:hint="default" w:ascii="Times New Roman" w:hAnsi="Times New Roman" w:eastAsia="宋体" w:cs="Times New Roman"/>
      <w:sz w:val="21"/>
      <w:szCs w:val="21"/>
      <w:lang w:val="en-US" w:eastAsia="zh-CN" w:bidi="ar-SA"/>
    </w:rPr>
  </w:style>
  <w:style w:type="character" w:styleId="971" w:customStyle="1">
    <w:name w:val="标题 2 字符"/>
    <w:link w:val="969"/>
    <w:uiPriority w:val="0"/>
    <w:qFormat/>
    <w:rPr>
      <w:rFonts w:ascii="Arial" w:hAnsi="Arial" w:eastAsia="黑体"/>
      <w:b/>
      <w:sz w:val="32"/>
    </w:rPr>
  </w:style>
  <w:style w:type="paragraph" w:styleId="972" w:customStyle="1">
    <w:name w:val="批注文字1"/>
    <w:basedOn w:val="686"/>
    <w:link w:val="973"/>
    <w:uiPriority w:val="99"/>
    <w:qFormat/>
    <w:pPr>
      <w:jc w:val="left"/>
    </w:pPr>
    <w:rPr>
      <w:szCs w:val="20"/>
    </w:rPr>
  </w:style>
  <w:style w:type="character" w:styleId="973" w:customStyle="1">
    <w:name w:val="批注文字 字符"/>
    <w:link w:val="972"/>
    <w:uiPriority w:val="99"/>
    <w:qFormat/>
    <w:rPr>
      <w:sz w:val="21"/>
    </w:rPr>
  </w:style>
  <w:style w:type="paragraph" w:styleId="974" w:customStyle="1">
    <w:name w:val="Normal_0_1"/>
    <w:uiPriority w:val="0"/>
    <w:qFormat/>
    <w:rPr>
      <w:rFonts w:hint="default" w:ascii="黑体" w:hAnsi="黑体" w:eastAsia="黑体" w:cs="Times New Roman"/>
      <w:b/>
      <w:sz w:val="32"/>
      <w:szCs w:val="24"/>
      <w:lang w:val="en-US" w:eastAsia="zh-CN" w:bidi="ar-SA"/>
    </w:rPr>
  </w:style>
  <w:style w:type="paragraph" w:styleId="975"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976"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77" w:customStyle="1">
    <w:name w:val="正文空2字"/>
    <w:basedOn w:val="686"/>
    <w:uiPriority w:val="99"/>
    <w:qFormat/>
    <w:pPr>
      <w:ind w:firstLine="640"/>
      <w:jc w:val="left"/>
      <w:spacing w:line="560" w:lineRule="exact"/>
    </w:pPr>
    <w:rPr>
      <w:rFonts w:ascii="仿宋_GB2312" w:hAnsi="仿宋_GB2312" w:eastAsia="仿宋_GB2312" w:cs="仿宋_GB2312"/>
      <w:sz w:val="32"/>
      <w:szCs w:val="32"/>
      <w:lang w:val="zh-TW"/>
    </w:rPr>
  </w:style>
  <w:style w:type="character" w:styleId="978" w:customStyle="1">
    <w:name w:val="标题 4 字符"/>
    <w:uiPriority w:val="0"/>
    <w:qFormat/>
    <w:rPr>
      <w:rFonts w:ascii="Arial" w:hAnsi="Arial" w:eastAsia="黑体" w:cs="Arial"/>
      <w:b/>
      <w:bCs/>
      <w:sz w:val="28"/>
      <w:szCs w:val="28"/>
    </w:rPr>
  </w:style>
  <w:style w:type="paragraph" w:styleId="979" w:customStyle="1">
    <w:name w:val="Normal_20"/>
    <w:uiPriority w:val="0"/>
    <w:qFormat/>
    <w:rPr>
      <w:rFonts w:hint="default" w:ascii="黑体" w:hAnsi="黑体" w:eastAsia="黑体" w:cs="黑体"/>
      <w:b/>
      <w:sz w:val="32"/>
      <w:szCs w:val="24"/>
      <w:lang w:val="en-US" w:eastAsia="zh-CN" w:bidi="ar-SA"/>
    </w:rPr>
  </w:style>
  <w:style w:type="paragraph" w:styleId="98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981" w:customStyle="1">
    <w:name w:val="Normal_18_0"/>
    <w:uiPriority w:val="0"/>
    <w:qFormat/>
    <w:rPr>
      <w:rFonts w:hint="default" w:ascii="黑体" w:hAnsi="黑体" w:eastAsia="黑体" w:cs="黑体"/>
      <w:b/>
      <w:sz w:val="32"/>
      <w:szCs w:val="24"/>
      <w:lang w:val="en-US" w:eastAsia="zh-CN" w:bidi="ar-SA"/>
    </w:rPr>
  </w:style>
  <w:style w:type="paragraph" w:styleId="982" w:customStyle="1">
    <w:name w:val="正文_12_0_0_0_0"/>
    <w:basedOn w:val="686"/>
    <w:uiPriority w:val="0"/>
    <w:qFormat/>
    <w:rPr>
      <w:rFonts w:ascii="Times New Roman" w:hAnsi="Times New Roman"/>
      <w:szCs w:val="24"/>
    </w:rPr>
  </w:style>
  <w:style w:type="paragraph" w:styleId="98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85"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6" w:customStyle="1">
    <w:name w:val="正文1_0"/>
    <w:link w:val="987"/>
    <w:uiPriority w:val="0"/>
    <w:qFormat/>
    <w:pPr>
      <w:jc w:val="both"/>
      <w:widowControl w:val="off"/>
    </w:pPr>
    <w:rPr>
      <w:rFonts w:hint="default" w:ascii="Times New Roman" w:hAnsi="Times New Roman" w:eastAsia="宋体" w:cs="Times New Roman"/>
      <w:szCs w:val="24"/>
      <w:lang w:val="en-US" w:eastAsia="zh-CN" w:bidi="ar-SA"/>
    </w:rPr>
  </w:style>
  <w:style w:type="character" w:styleId="987" w:customStyle="1">
    <w:name w:val="正文1 Char"/>
    <w:link w:val="986"/>
    <w:uiPriority w:val="0"/>
    <w:qFormat/>
    <w:rPr>
      <w:rFonts w:ascii="Times New Roman" w:hAnsi="Times New Roman"/>
      <w:szCs w:val="24"/>
    </w:rPr>
  </w:style>
  <w:style w:type="paragraph" w:styleId="988" w:customStyle="1">
    <w:name w:val="正文_16_0_0"/>
    <w:next w:val="986"/>
    <w:uiPriority w:val="0"/>
    <w:qFormat/>
    <w:pPr>
      <w:jc w:val="both"/>
      <w:widowControl w:val="off"/>
    </w:pPr>
    <w:rPr>
      <w:rFonts w:hint="default" w:ascii="Calibri" w:hAnsi="Calibri" w:eastAsia="宋体" w:cs="Times New Roman"/>
      <w:sz w:val="21"/>
      <w:szCs w:val="22"/>
      <w:lang w:val="en-US" w:eastAsia="zh-CN" w:bidi="ar-SA"/>
    </w:rPr>
  </w:style>
  <w:style w:type="paragraph" w:styleId="989" w:customStyle="1">
    <w:name w:val="Normal_3_0"/>
    <w:uiPriority w:val="0"/>
    <w:qFormat/>
    <w:rPr>
      <w:rFonts w:hint="default" w:ascii="黑体" w:hAnsi="黑体" w:eastAsia="黑体" w:cs="Times New Roman"/>
      <w:b/>
      <w:sz w:val="32"/>
      <w:szCs w:val="24"/>
      <w:lang w:val="en-US" w:eastAsia="zh-CN" w:bidi="ar-SA"/>
    </w:rPr>
  </w:style>
  <w:style w:type="paragraph" w:styleId="990"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991" w:customStyle="1">
    <w:name w:val="列表项目符号 41"/>
    <w:basedOn w:val="686"/>
    <w:uiPriority w:val="0"/>
    <w:qFormat/>
    <w:pPr>
      <w:ind w:left="360" w:hanging="360"/>
      <w:spacing w:line="380" w:lineRule="exact"/>
      <w:tabs>
        <w:tab w:val="left" w:pos="360" w:leader="none"/>
      </w:tabs>
    </w:pPr>
    <w:rPr>
      <w:sz w:val="28"/>
    </w:rPr>
  </w:style>
  <w:style w:type="paragraph" w:styleId="992" w:customStyle="1">
    <w:name w:val="索引 81"/>
    <w:basedOn w:val="686"/>
    <w:next w:val="686"/>
    <w:uiPriority w:val="0"/>
    <w:qFormat/>
    <w:pPr>
      <w:ind w:left="1400"/>
    </w:pPr>
  </w:style>
  <w:style w:type="paragraph" w:styleId="993" w:customStyle="1">
    <w:name w:val="列表编号1"/>
    <w:basedOn w:val="686"/>
    <w:uiPriority w:val="0"/>
    <w:qFormat/>
    <w:pPr>
      <w:spacing w:line="360" w:lineRule="auto"/>
      <w:tabs>
        <w:tab w:val="left" w:pos="0" w:leader="none"/>
        <w:tab w:val="left" w:pos="840" w:leader="none"/>
      </w:tabs>
    </w:pPr>
  </w:style>
  <w:style w:type="paragraph" w:styleId="994" w:customStyle="1">
    <w:name w:val="题注1"/>
    <w:basedOn w:val="686"/>
    <w:next w:val="686"/>
    <w:link w:val="995"/>
    <w:uiPriority w:val="0"/>
    <w:qFormat/>
    <w:pPr>
      <w:spacing w:line="360" w:lineRule="auto"/>
      <w:tabs>
        <w:tab w:val="left" w:pos="0" w:leader="none"/>
      </w:tabs>
    </w:pPr>
    <w:rPr>
      <w:rFonts w:ascii="Arial" w:hAnsi="Arial" w:eastAsia="黑体"/>
      <w:sz w:val="20"/>
      <w:szCs w:val="20"/>
    </w:rPr>
  </w:style>
  <w:style w:type="character" w:styleId="995" w:customStyle="1">
    <w:name w:val="题注 字符"/>
    <w:link w:val="994"/>
    <w:uiPriority w:val="0"/>
    <w:qFormat/>
    <w:rPr>
      <w:rFonts w:ascii="Arial" w:hAnsi="Arial" w:eastAsia="黑体"/>
    </w:rPr>
  </w:style>
  <w:style w:type="paragraph" w:styleId="996" w:customStyle="1">
    <w:name w:val="索引 51"/>
    <w:basedOn w:val="686"/>
    <w:next w:val="686"/>
    <w:uiPriority w:val="0"/>
    <w:qFormat/>
    <w:pPr>
      <w:ind w:left="800"/>
    </w:pPr>
  </w:style>
  <w:style w:type="paragraph" w:styleId="997" w:customStyle="1">
    <w:name w:val="列表项目符号1"/>
    <w:basedOn w:val="686"/>
    <w:uiPriority w:val="0"/>
    <w:qFormat/>
    <w:pPr>
      <w:ind w:left="962" w:hanging="480"/>
      <w:spacing w:line="360" w:lineRule="auto"/>
      <w:tabs>
        <w:tab w:val="left" w:pos="840" w:leader="none"/>
      </w:tabs>
    </w:pPr>
    <w:rPr>
      <w:sz w:val="24"/>
    </w:rPr>
  </w:style>
  <w:style w:type="paragraph" w:styleId="998" w:customStyle="1">
    <w:name w:val="索引 61"/>
    <w:basedOn w:val="686"/>
    <w:next w:val="686"/>
    <w:uiPriority w:val="0"/>
    <w:qFormat/>
    <w:pPr>
      <w:ind w:left="1000"/>
    </w:pPr>
  </w:style>
  <w:style w:type="paragraph" w:styleId="999" w:customStyle="1">
    <w:name w:val="列表项目符号 31"/>
    <w:basedOn w:val="686"/>
    <w:uiPriority w:val="0"/>
    <w:qFormat/>
    <w:pPr>
      <w:ind w:left="1200" w:hanging="360"/>
      <w:spacing w:line="380" w:lineRule="exact"/>
      <w:tabs>
        <w:tab w:val="left" w:pos="1200" w:leader="none"/>
      </w:tabs>
    </w:pPr>
    <w:rPr>
      <w:sz w:val="28"/>
    </w:rPr>
  </w:style>
  <w:style w:type="paragraph" w:styleId="1000" w:customStyle="1">
    <w:name w:val="文本块1"/>
    <w:basedOn w:val="686"/>
    <w:uiPriority w:val="0"/>
    <w:qFormat/>
    <w:pPr>
      <w:ind w:left="1548" w:right="12" w:hanging="2405"/>
      <w:spacing w:line="360" w:lineRule="exact"/>
    </w:pPr>
    <w:rPr>
      <w:rFonts w:ascii="宋体"/>
      <w:bCs/>
      <w:sz w:val="28"/>
    </w:rPr>
  </w:style>
  <w:style w:type="paragraph" w:styleId="1001" w:customStyle="1">
    <w:name w:val="列表项目符号 21"/>
    <w:basedOn w:val="686"/>
    <w:uiPriority w:val="0"/>
    <w:qFormat/>
    <w:pPr>
      <w:ind w:left="720" w:hanging="360"/>
      <w:spacing w:line="360" w:lineRule="auto"/>
      <w:tabs>
        <w:tab w:val="left" w:pos="720" w:leader="none"/>
      </w:tabs>
    </w:pPr>
    <w:rPr>
      <w:sz w:val="24"/>
    </w:rPr>
  </w:style>
  <w:style w:type="paragraph" w:styleId="1002" w:customStyle="1">
    <w:name w:val="HTML 地址1"/>
    <w:basedOn w:val="686"/>
    <w:link w:val="1003"/>
    <w:uiPriority w:val="0"/>
    <w:qFormat/>
    <w:rPr>
      <w:i/>
      <w:iCs/>
    </w:rPr>
  </w:style>
  <w:style w:type="character" w:styleId="1003" w:customStyle="1">
    <w:name w:val="HTML 地址 字符"/>
    <w:link w:val="1002"/>
    <w:uiPriority w:val="0"/>
    <w:qFormat/>
    <w:rPr>
      <w:i/>
      <w:iCs/>
      <w:sz w:val="21"/>
      <w:szCs w:val="22"/>
    </w:rPr>
  </w:style>
  <w:style w:type="paragraph" w:styleId="1004" w:customStyle="1">
    <w:name w:val="索引 41"/>
    <w:basedOn w:val="686"/>
    <w:next w:val="686"/>
    <w:uiPriority w:val="0"/>
    <w:qFormat/>
    <w:pPr>
      <w:ind w:left="600"/>
    </w:pPr>
  </w:style>
  <w:style w:type="paragraph" w:styleId="1005" w:customStyle="1">
    <w:name w:val="列表项目符号 51"/>
    <w:basedOn w:val="686"/>
    <w:uiPriority w:val="0"/>
    <w:qFormat/>
    <w:pPr>
      <w:ind w:left="720" w:hanging="360"/>
      <w:spacing w:line="380" w:lineRule="exact"/>
      <w:tabs>
        <w:tab w:val="left" w:pos="720" w:leader="none"/>
      </w:tabs>
    </w:pPr>
    <w:rPr>
      <w:sz w:val="28"/>
    </w:rPr>
  </w:style>
  <w:style w:type="paragraph" w:styleId="1006" w:customStyle="1">
    <w:name w:val="索引 31"/>
    <w:basedOn w:val="686"/>
    <w:next w:val="686"/>
    <w:uiPriority w:val="0"/>
    <w:qFormat/>
    <w:pPr>
      <w:ind w:left="400"/>
    </w:pPr>
  </w:style>
  <w:style w:type="paragraph" w:styleId="1007" w:customStyle="1">
    <w:name w:val="尾注文本1"/>
    <w:basedOn w:val="686"/>
    <w:link w:val="1008"/>
    <w:uiPriority w:val="0"/>
    <w:qFormat/>
    <w:pPr>
      <w:jc w:val="left"/>
      <w:widowControl/>
    </w:pPr>
    <w:rPr>
      <w:rFonts w:ascii="宋体"/>
      <w:bCs/>
      <w:szCs w:val="21"/>
    </w:rPr>
  </w:style>
  <w:style w:type="character" w:styleId="1008" w:customStyle="1">
    <w:name w:val="尾注文本 字符"/>
    <w:link w:val="1007"/>
    <w:uiPriority w:val="0"/>
    <w:qFormat/>
    <w:rPr>
      <w:rFonts w:ascii="宋体"/>
      <w:bCs/>
      <w:sz w:val="21"/>
      <w:szCs w:val="21"/>
    </w:rPr>
  </w:style>
  <w:style w:type="paragraph" w:styleId="1009" w:customStyle="1">
    <w:name w:val="索引标题1"/>
    <w:basedOn w:val="686"/>
    <w:next w:val="919"/>
    <w:uiPriority w:val="0"/>
    <w:qFormat/>
  </w:style>
  <w:style w:type="paragraph" w:styleId="1010" w:customStyle="1">
    <w:name w:val="脚注文本1"/>
    <w:basedOn w:val="686"/>
    <w:link w:val="1011"/>
    <w:uiPriority w:val="0"/>
    <w:qFormat/>
    <w:pPr>
      <w:jc w:val="left"/>
    </w:pPr>
    <w:rPr>
      <w:rFonts w:ascii="宋体"/>
      <w:bCs/>
      <w:sz w:val="18"/>
      <w:szCs w:val="18"/>
    </w:rPr>
  </w:style>
  <w:style w:type="character" w:styleId="1011" w:customStyle="1">
    <w:name w:val="脚注文本 字符"/>
    <w:link w:val="1010"/>
    <w:uiPriority w:val="0"/>
    <w:qFormat/>
    <w:rPr>
      <w:rFonts w:ascii="宋体"/>
      <w:bCs/>
      <w:sz w:val="18"/>
      <w:szCs w:val="18"/>
    </w:rPr>
  </w:style>
  <w:style w:type="paragraph" w:styleId="1012" w:customStyle="1">
    <w:name w:val="索引 71"/>
    <w:basedOn w:val="686"/>
    <w:next w:val="686"/>
    <w:uiPriority w:val="0"/>
    <w:qFormat/>
    <w:pPr>
      <w:ind w:left="1200"/>
    </w:pPr>
  </w:style>
  <w:style w:type="paragraph" w:styleId="1013" w:customStyle="1">
    <w:name w:val="索引 91"/>
    <w:basedOn w:val="686"/>
    <w:next w:val="686"/>
    <w:uiPriority w:val="0"/>
    <w:qFormat/>
    <w:pPr>
      <w:ind w:left="1600"/>
    </w:pPr>
  </w:style>
  <w:style w:type="paragraph" w:styleId="1014" w:customStyle="1">
    <w:name w:val="列表接续 21"/>
    <w:basedOn w:val="686"/>
    <w:uiPriority w:val="0"/>
    <w:qFormat/>
    <w:pPr>
      <w:ind w:left="840"/>
      <w:spacing w:after="120"/>
    </w:pPr>
  </w:style>
  <w:style w:type="paragraph" w:styleId="1015" w:customStyle="1">
    <w:name w:val="HTML 预设格式1"/>
    <w:basedOn w:val="686"/>
    <w:link w:val="101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character" w:styleId="1016" w:customStyle="1">
    <w:name w:val="HTML 预设格式 字符"/>
    <w:link w:val="1015"/>
    <w:uiPriority w:val="0"/>
    <w:qFormat/>
    <w:rPr>
      <w:rFonts w:ascii="Arial" w:hAnsi="Arial" w:cs="Arial"/>
      <w:sz w:val="24"/>
      <w:szCs w:val="22"/>
    </w:rPr>
  </w:style>
  <w:style w:type="paragraph" w:styleId="1017" w:customStyle="1">
    <w:name w:val="索引 21"/>
    <w:basedOn w:val="686"/>
    <w:next w:val="686"/>
    <w:uiPriority w:val="0"/>
    <w:qFormat/>
    <w:pPr>
      <w:ind w:left="200"/>
    </w:pPr>
  </w:style>
  <w:style w:type="paragraph" w:styleId="1018" w:customStyle="1">
    <w:name w:val="标题21"/>
    <w:basedOn w:val="686"/>
    <w:link w:val="1019"/>
    <w:uiPriority w:val="0"/>
    <w:qFormat/>
    <w:pPr>
      <w:jc w:val="center"/>
      <w:spacing w:before="240" w:after="60"/>
      <w:outlineLvl w:val="0"/>
    </w:pPr>
    <w:rPr>
      <w:rFonts w:ascii="Cambria" w:hAnsi="Cambria"/>
      <w:b/>
      <w:bCs/>
      <w:sz w:val="32"/>
      <w:szCs w:val="32"/>
    </w:rPr>
  </w:style>
  <w:style w:type="character" w:styleId="1019" w:customStyle="1">
    <w:name w:val="标题 字符"/>
    <w:link w:val="1018"/>
    <w:uiPriority w:val="0"/>
    <w:qFormat/>
    <w:rPr>
      <w:rFonts w:ascii="Cambria" w:hAnsi="Cambria"/>
      <w:b/>
      <w:bCs/>
      <w:sz w:val="32"/>
      <w:szCs w:val="32"/>
    </w:rPr>
  </w:style>
  <w:style w:type="character" w:styleId="1020" w:customStyle="1">
    <w:name w:val="尾注引用1"/>
    <w:uiPriority w:val="0"/>
    <w:qFormat/>
    <w:rPr>
      <w:vertAlign w:val="superscript"/>
    </w:rPr>
  </w:style>
  <w:style w:type="character" w:styleId="1021" w:customStyle="1">
    <w:name w:val="强调1"/>
    <w:uiPriority w:val="0"/>
    <w:qFormat/>
    <w:rPr>
      <w:color w:val="cc0033"/>
    </w:rPr>
  </w:style>
  <w:style w:type="character" w:styleId="1022" w:customStyle="1">
    <w:name w:val="HTML 打字机1"/>
    <w:uiPriority w:val="0"/>
    <w:qFormat/>
    <w:rPr>
      <w:rFonts w:ascii="宋体" w:eastAsia="宋体" w:cs="宋体"/>
      <w:sz w:val="24"/>
      <w:szCs w:val="24"/>
      <w:lang w:bidi="ar-SA"/>
    </w:rPr>
  </w:style>
  <w:style w:type="character" w:styleId="1023" w:customStyle="1">
    <w:name w:val="脚注引用1"/>
    <w:uiPriority w:val="0"/>
    <w:qFormat/>
    <w:rPr>
      <w:vertAlign w:val="superscript"/>
    </w:rPr>
  </w:style>
  <w:style w:type="paragraph" w:styleId="1024" w:customStyle="1">
    <w:name w:val="正文（标记）"/>
    <w:basedOn w:val="686"/>
    <w:link w:val="1025"/>
    <w:uiPriority w:val="0"/>
    <w:qFormat/>
    <w:pPr>
      <w:spacing w:before="50" w:after="50"/>
      <w:tabs>
        <w:tab w:val="left" w:pos="0" w:leader="none"/>
        <w:tab w:val="left" w:pos="840" w:leader="none"/>
      </w:tabs>
    </w:pPr>
    <w:rPr>
      <w:rFonts w:ascii="Times New Roman" w:hAnsi="Times New Roman"/>
      <w:sz w:val="24"/>
      <w:szCs w:val="24"/>
    </w:rPr>
  </w:style>
  <w:style w:type="character" w:styleId="1025" w:customStyle="1">
    <w:name w:val="正文（标记） Char2"/>
    <w:link w:val="1024"/>
    <w:uiPriority w:val="0"/>
    <w:qFormat/>
    <w:rPr>
      <w:rFonts w:ascii="Times New Roman" w:hAnsi="Times New Roman"/>
      <w:sz w:val="24"/>
      <w:szCs w:val="24"/>
    </w:rPr>
  </w:style>
  <w:style w:type="character" w:styleId="1026" w:customStyle="1">
    <w:name w:val="Char Char2"/>
    <w:uiPriority w:val="0"/>
    <w:qFormat/>
    <w:rPr>
      <w:sz w:val="18"/>
      <w:szCs w:val="18"/>
    </w:rPr>
  </w:style>
  <w:style w:type="character" w:styleId="1027" w:customStyle="1">
    <w:name w:val="maywed421"/>
    <w:uiPriority w:val="0"/>
    <w:qFormat/>
    <w:rPr>
      <w:color w:val="366fb6"/>
      <w:u w:val="none"/>
    </w:rPr>
  </w:style>
  <w:style w:type="paragraph" w:styleId="1028"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29"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30" w:customStyle="1">
    <w:name w:val="Comment Text Char"/>
    <w:uiPriority w:val="0"/>
    <w:qFormat/>
    <w:rPr>
      <w:rFonts w:cs="Times New Roman"/>
      <w:sz w:val="21"/>
      <w:szCs w:val="21"/>
      <w:lang w:bidi="ar-SA"/>
    </w:rPr>
  </w:style>
  <w:style w:type="character" w:styleId="1031" w:customStyle="1">
    <w:name w:val="Footer Char"/>
    <w:uiPriority w:val="0"/>
    <w:qFormat/>
    <w:rPr>
      <w:rFonts w:eastAsia="宋体"/>
      <w:sz w:val="18"/>
      <w:lang w:val="en-US" w:eastAsia="zh-CN"/>
    </w:rPr>
  </w:style>
  <w:style w:type="character" w:styleId="1032" w:customStyle="1">
    <w:name w:val="ca-41"/>
    <w:uiPriority w:val="0"/>
    <w:qFormat/>
    <w:rPr>
      <w:rFonts w:ascii="宋体" w:eastAsia="宋体"/>
      <w:b/>
      <w:bCs/>
      <w:color w:val="000000"/>
      <w:spacing w:val="-20"/>
      <w:sz w:val="21"/>
      <w:szCs w:val="21"/>
    </w:rPr>
  </w:style>
  <w:style w:type="character" w:styleId="1033" w:customStyle="1">
    <w:name w:val="ca-1"/>
    <w:uiPriority w:val="0"/>
    <w:qFormat/>
  </w:style>
  <w:style w:type="character" w:styleId="1034" w:customStyle="1">
    <w:name w:val="Plain Text Char"/>
    <w:uiPriority w:val="0"/>
    <w:qFormat/>
    <w:rPr>
      <w:rFonts w:ascii="宋体" w:eastAsia="宋体"/>
      <w:sz w:val="21"/>
      <w:lang w:val="en-US" w:eastAsia="zh-CN"/>
    </w:rPr>
  </w:style>
  <w:style w:type="character" w:styleId="1035" w:customStyle="1">
    <w:name w:val="Header Char"/>
    <w:uiPriority w:val="0"/>
    <w:qFormat/>
    <w:rPr>
      <w:rFonts w:eastAsia="宋体"/>
      <w:sz w:val="18"/>
      <w:lang w:val="en-US" w:eastAsia="zh-CN"/>
    </w:rPr>
  </w:style>
  <w:style w:type="character" w:styleId="1036" w:customStyle="1">
    <w:name w:val="marklong"/>
    <w:uiPriority w:val="0"/>
    <w:qFormat/>
  </w:style>
  <w:style w:type="character" w:styleId="1037" w:customStyle="1">
    <w:name w:val="普通文字1 Char"/>
    <w:uiPriority w:val="0"/>
    <w:qFormat/>
    <w:rPr>
      <w:rFonts w:ascii="宋体" w:eastAsia="宋体" w:cs="Courier New"/>
      <w:sz w:val="21"/>
      <w:szCs w:val="21"/>
      <w:lang w:val="en-US" w:eastAsia="zh-CN" w:bidi="ar-SA"/>
    </w:rPr>
  </w:style>
  <w:style w:type="character" w:styleId="1038" w:customStyle="1">
    <w:name w:val="ca-21"/>
    <w:uiPriority w:val="0"/>
    <w:qFormat/>
    <w:rPr>
      <w:rFonts w:ascii="宋体" w:eastAsia="宋体"/>
      <w:sz w:val="21"/>
    </w:rPr>
  </w:style>
  <w:style w:type="paragraph" w:styleId="1039" w:customStyle="1">
    <w:name w:val="正文（缩进）"/>
    <w:basedOn w:val="686"/>
    <w:uiPriority w:val="0"/>
    <w:qFormat/>
    <w:pPr>
      <w:ind w:firstLine="200"/>
      <w:spacing w:before="50" w:after="50" w:line="360" w:lineRule="auto"/>
    </w:pPr>
    <w:rPr>
      <w:sz w:val="24"/>
    </w:rPr>
  </w:style>
  <w:style w:type="character" w:styleId="1040" w:customStyle="1">
    <w:name w:val="Heading 3 Char"/>
    <w:uiPriority w:val="0"/>
    <w:qFormat/>
    <w:rPr>
      <w:rFonts w:cs="Times New Roman"/>
      <w:b/>
      <w:bCs/>
      <w:sz w:val="32"/>
      <w:szCs w:val="32"/>
      <w:lang w:bidi="ar-SA"/>
    </w:rPr>
  </w:style>
  <w:style w:type="character" w:styleId="1041" w:customStyle="1">
    <w:name w:val="z12 style23"/>
    <w:uiPriority w:val="0"/>
    <w:qFormat/>
  </w:style>
  <w:style w:type="paragraph" w:styleId="1042" w:customStyle="1">
    <w:name w:val="Indent Normal"/>
    <w:basedOn w:val="686"/>
    <w:uiPriority w:val="0"/>
    <w:qFormat/>
    <w:pPr>
      <w:ind w:firstLine="150"/>
    </w:pPr>
    <w:rPr>
      <w:sz w:val="24"/>
      <w:szCs w:val="20"/>
    </w:rPr>
  </w:style>
  <w:style w:type="character" w:styleId="1043" w:customStyle="1">
    <w:name w:val=" Char Char2"/>
    <w:uiPriority w:val="0"/>
    <w:qFormat/>
    <w:rPr>
      <w:sz w:val="18"/>
      <w:szCs w:val="18"/>
    </w:rPr>
  </w:style>
  <w:style w:type="character" w:styleId="1044" w:customStyle="1">
    <w:name w:val="ca-31"/>
    <w:uiPriority w:val="0"/>
    <w:qFormat/>
    <w:rPr>
      <w:rFonts w:ascii="宋体" w:eastAsia="宋体"/>
      <w:color w:val="000000"/>
      <w:sz w:val="21"/>
      <w:szCs w:val="21"/>
    </w:rPr>
  </w:style>
  <w:style w:type="character" w:styleId="1045" w:customStyle="1">
    <w:name w:val="apple-converted-space"/>
    <w:uiPriority w:val="0"/>
    <w:qFormat/>
  </w:style>
  <w:style w:type="character" w:styleId="1046" w:customStyle="1">
    <w:name w:val="Char Char1"/>
    <w:uiPriority w:val="0"/>
    <w:qFormat/>
    <w:rPr>
      <w:rFonts w:ascii="宋体" w:eastAsia="宋体"/>
      <w:sz w:val="21"/>
      <w:lang w:val="en-US" w:eastAsia="zh-CN"/>
    </w:rPr>
  </w:style>
  <w:style w:type="character" w:styleId="1047" w:customStyle="1">
    <w:name w:val="font21"/>
    <w:uiPriority w:val="0"/>
    <w:qFormat/>
    <w:rPr>
      <w:rFonts w:ascii="Times New Roman" w:hAnsi="Times New Roman"/>
      <w:color w:val="000000"/>
      <w:sz w:val="20"/>
      <w:u w:val="none"/>
    </w:rPr>
  </w:style>
  <w:style w:type="character" w:styleId="1048" w:customStyle="1">
    <w:name w:val="ca-01"/>
    <w:uiPriority w:val="0"/>
    <w:qFormat/>
    <w:rPr>
      <w:rFonts w:ascii="宋体" w:eastAsia="宋体"/>
      <w:b/>
      <w:bCs/>
      <w:spacing w:val="-20"/>
      <w:sz w:val="24"/>
      <w:szCs w:val="24"/>
    </w:rPr>
  </w:style>
  <w:style w:type="character" w:styleId="1049" w:customStyle="1">
    <w:name w:val=" Char Char23"/>
    <w:uiPriority w:val="0"/>
    <w:qFormat/>
    <w:rPr>
      <w:sz w:val="24"/>
      <w:szCs w:val="21"/>
      <w:lang w:bidi="ar-SA"/>
    </w:rPr>
  </w:style>
  <w:style w:type="character" w:styleId="1050" w:customStyle="1">
    <w:name w:val="Char Char"/>
    <w:uiPriority w:val="0"/>
    <w:qFormat/>
    <w:rPr>
      <w:rFonts w:eastAsia="宋体"/>
      <w:sz w:val="18"/>
      <w:lang w:val="en-US" w:eastAsia="zh-CN"/>
    </w:rPr>
  </w:style>
  <w:style w:type="character" w:styleId="1051" w:customStyle="1">
    <w:name w:val=" Char Char3"/>
    <w:uiPriority w:val="0"/>
    <w:qFormat/>
    <w:rPr>
      <w:rFonts w:ascii="宋体" w:eastAsia="宋体"/>
      <w:sz w:val="18"/>
      <w:szCs w:val="18"/>
      <w:lang w:val="en-US" w:eastAsia="zh-CN" w:bidi="ar-SA"/>
    </w:rPr>
  </w:style>
  <w:style w:type="paragraph" w:styleId="1052"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53" w:customStyle="1">
    <w:name w:val="Heading 4 Char"/>
    <w:uiPriority w:val="0"/>
    <w:qFormat/>
    <w:rPr>
      <w:rFonts w:ascii="Cambria" w:hAnsi="Cambria" w:eastAsia="宋体" w:cs="Cambria"/>
      <w:b/>
      <w:bCs/>
      <w:sz w:val="28"/>
      <w:szCs w:val="28"/>
      <w:lang w:bidi="ar-SA"/>
    </w:rPr>
  </w:style>
  <w:style w:type="character" w:styleId="1054" w:customStyle="1">
    <w:name w:val="Header Char1"/>
    <w:uiPriority w:val="0"/>
    <w:qFormat/>
    <w:rPr>
      <w:rFonts w:cs="Times New Roman"/>
      <w:sz w:val="18"/>
      <w:szCs w:val="18"/>
      <w:lang w:bidi="ar-SA"/>
    </w:rPr>
  </w:style>
  <w:style w:type="character" w:styleId="1055" w:customStyle="1">
    <w:name w:val="Footer Char1"/>
    <w:uiPriority w:val="0"/>
    <w:qFormat/>
    <w:rPr>
      <w:rFonts w:cs="Times New Roman"/>
      <w:sz w:val="18"/>
      <w:szCs w:val="18"/>
      <w:lang w:bidi="ar-SA"/>
    </w:rPr>
  </w:style>
  <w:style w:type="character" w:styleId="1056" w:customStyle="1">
    <w:name w:val="wj1"/>
    <w:uiPriority w:val="0"/>
    <w:qFormat/>
    <w:rPr>
      <w:color w:val="000000"/>
      <w:sz w:val="18"/>
      <w:szCs w:val="18"/>
      <w:u w:val="none"/>
    </w:rPr>
  </w:style>
  <w:style w:type="character" w:styleId="1057" w:customStyle="1">
    <w:name w:val="ca-11"/>
    <w:uiPriority w:val="0"/>
    <w:qFormat/>
    <w:rPr>
      <w:rFonts w:ascii="宋体" w:eastAsia="宋体"/>
      <w:b/>
      <w:bCs/>
      <w:color w:val="000000"/>
      <w:spacing w:val="-20"/>
      <w:sz w:val="28"/>
      <w:szCs w:val="28"/>
    </w:rPr>
  </w:style>
  <w:style w:type="paragraph" w:styleId="1058"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59" w:customStyle="1">
    <w:name w:val="Plain Text Char1"/>
    <w:uiPriority w:val="0"/>
    <w:qFormat/>
    <w:rPr>
      <w:rFonts w:ascii="宋体" w:eastAsia="宋体"/>
      <w:sz w:val="21"/>
      <w:szCs w:val="21"/>
      <w:lang w:val="en-US" w:eastAsia="zh-CN" w:bidi="ar-SA"/>
    </w:rPr>
  </w:style>
  <w:style w:type="character" w:styleId="1060" w:customStyle="1">
    <w:name w:val="段落 Char"/>
    <w:uiPriority w:val="0"/>
    <w:qFormat/>
    <w:rPr>
      <w:rFonts w:ascii="仿宋_GB2312" w:eastAsia="仿宋_GB2312"/>
      <w:sz w:val="24"/>
      <w:szCs w:val="24"/>
      <w:lang w:val="en-US" w:eastAsia="zh-CN" w:bidi="ar-SA"/>
    </w:rPr>
  </w:style>
  <w:style w:type="character" w:styleId="1061" w:customStyle="1">
    <w:name w:val="Heading 2 Char"/>
    <w:uiPriority w:val="0"/>
    <w:qFormat/>
    <w:rPr>
      <w:rFonts w:ascii="Arial" w:hAnsi="Arial" w:eastAsia="黑体"/>
      <w:b/>
      <w:bCs/>
      <w:sz w:val="32"/>
      <w:szCs w:val="32"/>
      <w:lang w:val="en-US" w:eastAsia="zh-CN" w:bidi="ar-SA"/>
    </w:rPr>
  </w:style>
  <w:style w:type="paragraph" w:styleId="1062"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063" w:customStyle="1">
    <w:name w:val="Char Char3"/>
    <w:uiPriority w:val="0"/>
    <w:qFormat/>
    <w:rPr>
      <w:rFonts w:ascii="Arial" w:hAnsi="Arial" w:eastAsia="黑体" w:cs="Times New Roman"/>
      <w:b/>
      <w:bCs/>
      <w:sz w:val="32"/>
      <w:szCs w:val="32"/>
      <w:lang w:val="en-US" w:eastAsia="zh-CN" w:bidi="ar-SA"/>
    </w:rPr>
  </w:style>
  <w:style w:type="paragraph" w:styleId="1064" w:customStyle="1">
    <w:name w:val="正文（黑体）"/>
    <w:basedOn w:val="686"/>
    <w:next w:val="686"/>
    <w:uiPriority w:val="0"/>
    <w:qFormat/>
    <w:pPr>
      <w:ind w:firstLine="200"/>
      <w:spacing w:before="50" w:after="50" w:line="360" w:lineRule="auto"/>
    </w:pPr>
    <w:rPr>
      <w:rFonts w:ascii="黑体" w:eastAsia="黑体"/>
      <w:color w:val="000080"/>
      <w:sz w:val="24"/>
    </w:rPr>
  </w:style>
  <w:style w:type="character" w:styleId="1065" w:customStyle="1">
    <w:name w:val="ca-51"/>
    <w:uiPriority w:val="0"/>
    <w:qFormat/>
    <w:rPr>
      <w:rFonts w:ascii="楷体_GB2312" w:eastAsia="楷体_GB2312"/>
      <w:b/>
      <w:bCs/>
      <w:spacing w:val="-20"/>
      <w:sz w:val="24"/>
      <w:szCs w:val="24"/>
    </w:rPr>
  </w:style>
  <w:style w:type="paragraph" w:styleId="1066" w:customStyle="1">
    <w:name w:val="加点正文缩进"/>
    <w:basedOn w:val="686"/>
    <w:uiPriority w:val="0"/>
    <w:qFormat/>
    <w:pPr>
      <w:ind w:left="962" w:hanging="480"/>
      <w:spacing w:line="300" w:lineRule="auto"/>
      <w:tabs>
        <w:tab w:val="left" w:pos="840" w:leader="none"/>
      </w:tabs>
    </w:pPr>
    <w:rPr>
      <w:sz w:val="24"/>
    </w:rPr>
  </w:style>
  <w:style w:type="paragraph" w:styleId="1067" w:customStyle="1">
    <w:name w:val="默认段落字体 Para Char Char Char Char Char Char Char Char Char Char Char Char Char Char"/>
    <w:basedOn w:val="889"/>
    <w:uiPriority w:val="0"/>
    <w:qFormat/>
    <w:rPr>
      <w:rFonts w:ascii="Tahoma" w:hAnsi="Tahoma"/>
      <w:sz w:val="24"/>
      <w:szCs w:val="22"/>
    </w:rPr>
  </w:style>
  <w:style w:type="paragraph" w:styleId="1068">
    <w:name w:val="List Paragraph"/>
    <w:basedOn w:val="686"/>
    <w:uiPriority w:val="0"/>
    <w:qFormat/>
    <w:pPr>
      <w:ind w:firstLine="200"/>
    </w:pPr>
  </w:style>
  <w:style w:type="paragraph" w:styleId="1069" w:customStyle="1">
    <w:name w:val="序号"/>
    <w:next w:val="686"/>
    <w:uiPriority w:val="0"/>
    <w:qFormat/>
    <w:pPr>
      <w:jc w:val="center"/>
    </w:pPr>
    <w:rPr>
      <w:rFonts w:hint="default" w:ascii="Times New Roman" w:hAnsi="Times New Roman" w:eastAsia="仿宋_GB2312" w:cs="Times New Roman"/>
      <w:bCs/>
      <w:sz w:val="21"/>
      <w:szCs w:val="44"/>
      <w:lang w:val="en-US" w:eastAsia="zh-CN" w:bidi="ar-SA"/>
    </w:rPr>
  </w:style>
  <w:style w:type="paragraph" w:styleId="1070" w:customStyle="1">
    <w:name w:val="xl35"/>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71" w:customStyle="1">
    <w:name w:val="xl36"/>
    <w:basedOn w:val="68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72" w:customStyle="1">
    <w:name w:val="Char Char Char"/>
    <w:basedOn w:val="686"/>
    <w:uiPriority w:val="0"/>
    <w:qFormat/>
    <w:rPr>
      <w:rFonts w:ascii="Tahoma" w:hAnsi="Tahoma"/>
      <w:sz w:val="24"/>
      <w:szCs w:val="20"/>
    </w:rPr>
  </w:style>
  <w:style w:type="paragraph" w:styleId="1073" w:customStyle="1">
    <w:name w:val="Char12"/>
    <w:basedOn w:val="686"/>
    <w:uiPriority w:val="0"/>
    <w:qFormat/>
    <w:pPr>
      <w:ind w:left="360" w:right="202" w:firstLine="360"/>
      <w:spacing w:line="480" w:lineRule="auto"/>
      <w:tabs>
        <w:tab w:val="left" w:pos="360" w:leader="none"/>
      </w:tabs>
    </w:pPr>
    <w:rPr>
      <w:sz w:val="24"/>
    </w:rPr>
  </w:style>
  <w:style w:type="paragraph" w:styleId="1074" w:customStyle="1">
    <w:name w:val="Char Char Char Char Char Char Char Char Char Char"/>
    <w:basedOn w:val="686"/>
    <w:uiPriority w:val="0"/>
    <w:qFormat/>
    <w:rPr>
      <w:rFonts w:ascii="Tahoma" w:hAnsi="Tahoma"/>
      <w:sz w:val="24"/>
      <w:szCs w:val="20"/>
    </w:rPr>
  </w:style>
  <w:style w:type="paragraph" w:styleId="1075" w:customStyle="1">
    <w:name w:val="正文段"/>
    <w:basedOn w:val="686"/>
    <w:uiPriority w:val="0"/>
    <w:qFormat/>
    <w:pPr>
      <w:ind w:firstLine="425"/>
      <w:spacing w:after="240" w:line="240" w:lineRule="atLeast"/>
      <w:widowControl/>
    </w:pPr>
    <w:rPr>
      <w:sz w:val="24"/>
      <w:szCs w:val="20"/>
    </w:rPr>
  </w:style>
  <w:style w:type="paragraph" w:styleId="1076"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77" w:customStyle="1">
    <w:name w:val="Char Char Char Char Char Char Char Char Char Char1"/>
    <w:basedOn w:val="686"/>
    <w:uiPriority w:val="0"/>
    <w:qFormat/>
    <w:rPr>
      <w:rFonts w:ascii="Tahoma" w:hAnsi="Tahoma" w:cs="Tahoma"/>
      <w:sz w:val="24"/>
    </w:rPr>
  </w:style>
  <w:style w:type="paragraph" w:styleId="1078" w:customStyle="1">
    <w:name w:val="xl34"/>
    <w:basedOn w:val="686"/>
    <w:uiPriority w:val="0"/>
    <w:qFormat/>
    <w:pPr>
      <w:jc w:val="center"/>
      <w:spacing w:before="100" w:beforeAutospacing="1" w:after="100" w:afterAutospacing="1"/>
      <w:widowControl/>
    </w:pPr>
    <w:rPr>
      <w:rFonts w:ascii="Arial Unicode MS" w:hAnsi="Arial Unicode MS" w:eastAsia="Arial Unicode MS"/>
      <w:sz w:val="24"/>
    </w:rPr>
  </w:style>
  <w:style w:type="paragraph" w:styleId="1079" w:customStyle="1">
    <w:name w:val="前言、引言标题"/>
    <w:next w:val="686"/>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80" w:customStyle="1">
    <w:name w:val="Char Char Char Char Char Char Char Char Char Char Char Char Char"/>
    <w:basedOn w:val="686"/>
    <w:uiPriority w:val="0"/>
    <w:qFormat/>
    <w:pPr>
      <w:jc w:val="left"/>
      <w:spacing w:after="160" w:line="240" w:lineRule="exact"/>
      <w:widowControl/>
    </w:pPr>
    <w:rPr>
      <w:rFonts w:ascii="Verdana" w:hAnsi="Verdana"/>
      <w:sz w:val="20"/>
      <w:szCs w:val="20"/>
      <w:lang w:eastAsia="en-US"/>
    </w:rPr>
  </w:style>
  <w:style w:type="paragraph" w:styleId="1081" w:customStyle="1">
    <w:name w:val="pa-0"/>
    <w:basedOn w:val="686"/>
    <w:uiPriority w:val="0"/>
    <w:qFormat/>
    <w:pPr>
      <w:ind w:firstLine="480"/>
      <w:spacing w:line="360" w:lineRule="atLeast"/>
      <w:widowControl/>
    </w:pPr>
    <w:rPr>
      <w:rFonts w:ascii="宋体" w:cs="宋体"/>
      <w:sz w:val="24"/>
    </w:rPr>
  </w:style>
  <w:style w:type="paragraph" w:styleId="1082" w:customStyle="1">
    <w:name w:val="三级条标题"/>
    <w:basedOn w:val="1083"/>
    <w:next w:val="1076"/>
    <w:uiPriority w:val="0"/>
    <w:qFormat/>
    <w:pPr>
      <w:ind w:left="1050"/>
      <w:outlineLvl w:val="4"/>
    </w:pPr>
  </w:style>
  <w:style w:type="paragraph" w:styleId="1083" w:customStyle="1">
    <w:name w:val="二级条标题"/>
    <w:basedOn w:val="1084"/>
    <w:next w:val="1076"/>
    <w:uiPriority w:val="0"/>
    <w:qFormat/>
    <w:pPr>
      <w:ind w:left="360"/>
      <w:outlineLvl w:val="3"/>
    </w:pPr>
  </w:style>
  <w:style w:type="paragraph" w:styleId="1084" w:customStyle="1">
    <w:name w:val="一级条标题"/>
    <w:next w:val="1076"/>
    <w:uiPriority w:val="0"/>
    <w:qFormat/>
    <w:pPr>
      <w:outlineLvl w:val="2"/>
    </w:pPr>
    <w:rPr>
      <w:rFonts w:hint="default" w:ascii="Times New Roman" w:hAnsi="Times New Roman" w:eastAsia="黑体" w:cs="Times New Roman"/>
      <w:sz w:val="21"/>
      <w:lang w:val="en-US" w:eastAsia="zh-CN" w:bidi="ar-SA"/>
    </w:rPr>
  </w:style>
  <w:style w:type="paragraph" w:styleId="1085" w:customStyle="1">
    <w:name w:val="FA正文+标号"/>
    <w:basedOn w:val="686"/>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86" w:customStyle="1">
    <w:name w:val="表文1"/>
    <w:basedOn w:val="686"/>
    <w:uiPriority w:val="0"/>
    <w:qFormat/>
    <w:pPr>
      <w:ind w:firstLine="196"/>
      <w:spacing w:line="360" w:lineRule="auto"/>
      <w:widowControl/>
    </w:pPr>
    <w:rPr>
      <w:rFonts w:ascii="宋体"/>
      <w:sz w:val="24"/>
    </w:rPr>
  </w:style>
  <w:style w:type="paragraph" w:styleId="1087" w:customStyle="1">
    <w:name w:val="表内容"/>
    <w:basedOn w:val="1088"/>
    <w:uiPriority w:val="0"/>
    <w:qFormat/>
    <w:pPr>
      <w:ind w:left="0" w:firstLine="0"/>
      <w:spacing w:line="320" w:lineRule="exact"/>
    </w:pPr>
    <w:rPr>
      <w:sz w:val="20"/>
    </w:rPr>
  </w:style>
  <w:style w:type="paragraph" w:styleId="1088" w:customStyle="1">
    <w:name w:val="正文1"/>
    <w:basedOn w:val="686"/>
    <w:uiPriority w:val="0"/>
    <w:qFormat/>
    <w:pPr>
      <w:ind w:left="357" w:firstLine="420"/>
      <w:jc w:val="left"/>
      <w:spacing w:line="360" w:lineRule="auto"/>
      <w:widowControl/>
    </w:pPr>
    <w:rPr>
      <w:rFonts w:cs="Arial"/>
      <w:szCs w:val="20"/>
    </w:rPr>
  </w:style>
  <w:style w:type="paragraph" w:styleId="1089" w:customStyle="1">
    <w:name w:val="Char Char1 Char Char Char Char Char Char"/>
    <w:basedOn w:val="686"/>
    <w:uiPriority w:val="0"/>
    <w:qFormat/>
    <w:pPr>
      <w:jc w:val="center"/>
      <w:widowControl/>
    </w:pPr>
    <w:rPr>
      <w:szCs w:val="20"/>
    </w:rPr>
  </w:style>
  <w:style w:type="paragraph" w:styleId="1090"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91" w:customStyle="1">
    <w:name w:val="附图标题"/>
    <w:basedOn w:val="994"/>
    <w:next w:val="869"/>
    <w:uiPriority w:val="0"/>
    <w:qFormat/>
    <w:pPr>
      <w:ind w:left="780" w:hanging="480"/>
      <w:jc w:val="center"/>
      <w:spacing w:after="100"/>
      <w:tabs>
        <w:tab w:val="clear" w:pos="0" w:leader="none"/>
        <w:tab w:val="left" w:pos="780" w:leader="none"/>
      </w:tabs>
    </w:pPr>
    <w:rPr>
      <w:b/>
      <w:sz w:val="21"/>
    </w:rPr>
  </w:style>
  <w:style w:type="paragraph" w:styleId="1092" w:customStyle="1">
    <w:name w:val="图号"/>
    <w:basedOn w:val="686"/>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93" w:customStyle="1">
    <w:name w:val="xl40"/>
    <w:basedOn w:val="686"/>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94" w:customStyle="1">
    <w:name w:val="缩进正文"/>
    <w:basedOn w:val="686"/>
    <w:uiPriority w:val="0"/>
    <w:qFormat/>
    <w:pPr>
      <w:ind w:left="1418" w:firstLine="425"/>
      <w:jc w:val="left"/>
      <w:spacing w:after="200" w:line="400" w:lineRule="exact"/>
      <w:widowControl/>
    </w:pPr>
    <w:rPr>
      <w:rFonts w:ascii="宋体"/>
      <w:sz w:val="24"/>
      <w:szCs w:val="20"/>
    </w:rPr>
  </w:style>
  <w:style w:type="paragraph" w:styleId="1095" w:customStyle="1">
    <w:name w:val=" Char1"/>
    <w:basedOn w:val="686"/>
    <w:uiPriority w:val="0"/>
    <w:qFormat/>
    <w:pPr>
      <w:ind w:left="360" w:right="202" w:firstLine="360"/>
      <w:spacing w:line="480" w:lineRule="auto"/>
      <w:tabs>
        <w:tab w:val="left" w:pos="360" w:leader="none"/>
      </w:tabs>
    </w:pPr>
    <w:rPr>
      <w:sz w:val="24"/>
    </w:rPr>
  </w:style>
  <w:style w:type="paragraph" w:styleId="1096"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097" w:customStyle="1">
    <w:name w:val="pa-10"/>
    <w:basedOn w:val="686"/>
    <w:uiPriority w:val="0"/>
    <w:qFormat/>
    <w:pPr>
      <w:spacing w:line="240" w:lineRule="atLeast"/>
      <w:widowControl/>
    </w:pPr>
    <w:rPr>
      <w:rFonts w:ascii="宋体" w:cs="宋体"/>
      <w:sz w:val="24"/>
    </w:rPr>
  </w:style>
  <w:style w:type="paragraph" w:styleId="1098" w:customStyle="1">
    <w:name w:val="特点"/>
    <w:basedOn w:val="686"/>
    <w:next w:val="686"/>
    <w:uiPriority w:val="0"/>
    <w:qFormat/>
    <w:pPr>
      <w:jc w:val="center"/>
      <w:spacing w:line="360" w:lineRule="auto"/>
    </w:pPr>
    <w:rPr>
      <w:rFonts w:ascii="Arial" w:hAnsi="Arial"/>
      <w:sz w:val="24"/>
      <w:szCs w:val="20"/>
    </w:rPr>
  </w:style>
  <w:style w:type="paragraph" w:styleId="1099" w:customStyle="1">
    <w:name w:val="pa-4"/>
    <w:basedOn w:val="686"/>
    <w:uiPriority w:val="0"/>
    <w:qFormat/>
    <w:pPr>
      <w:jc w:val="center"/>
      <w:spacing w:line="280" w:lineRule="atLeast"/>
      <w:widowControl/>
    </w:pPr>
    <w:rPr>
      <w:rFonts w:ascii="宋体" w:cs="宋体"/>
      <w:sz w:val="24"/>
    </w:rPr>
  </w:style>
  <w:style w:type="paragraph" w:styleId="1100" w:customStyle="1">
    <w:name w:val="编号"/>
    <w:basedOn w:val="686"/>
    <w:next w:val="1052"/>
    <w:uiPriority w:val="0"/>
    <w:qFormat/>
    <w:pPr>
      <w:ind w:left="420" w:right="-136" w:hanging="420"/>
      <w:widowControl/>
      <w:tabs>
        <w:tab w:val="left" w:pos="420" w:leader="none"/>
      </w:tabs>
    </w:pPr>
    <w:rPr>
      <w:rFonts w:ascii="仿宋_GB2312" w:eastAsia="仿宋_GB2312"/>
      <w:b/>
      <w:bCs/>
      <w:sz w:val="24"/>
      <w:szCs w:val="21"/>
    </w:rPr>
  </w:style>
  <w:style w:type="paragraph" w:styleId="1101"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02" w:customStyle="1">
    <w:name w:val="xl33"/>
    <w:basedOn w:val="68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3" w:customStyle="1">
    <w:name w:val="编号1"/>
    <w:next w:val="1052"/>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04" w:customStyle="1">
    <w:name w:val="xl32"/>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5" w:customStyle="1">
    <w:name w:val="CM17"/>
    <w:basedOn w:val="686"/>
    <w:next w:val="686"/>
    <w:uiPriority w:val="0"/>
    <w:qFormat/>
    <w:pPr>
      <w:jc w:val="left"/>
      <w:spacing w:after="273" w:line="360" w:lineRule="auto"/>
    </w:pPr>
    <w:rPr>
      <w:rFonts w:ascii="宋体"/>
      <w:sz w:val="24"/>
    </w:rPr>
  </w:style>
  <w:style w:type="paragraph" w:styleId="1106" w:customStyle="1">
    <w:name w:val="xl38"/>
    <w:basedOn w:val="68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07" w:customStyle="1">
    <w:name w:val="参考资料清单+倾斜+蓝色"/>
    <w:basedOn w:val="686"/>
    <w:uiPriority w:val="0"/>
    <w:qFormat/>
    <w:pPr>
      <w:spacing w:line="360" w:lineRule="auto"/>
    </w:pPr>
    <w:rPr>
      <w:rFonts w:ascii="Arial" w:hAnsi="Arial"/>
      <w:i/>
      <w:iCs/>
      <w:color w:val="0000ff"/>
      <w:szCs w:val="21"/>
    </w:rPr>
  </w:style>
  <w:style w:type="paragraph" w:styleId="1108"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09" w:customStyle="1">
    <w:name w:val="pa-8"/>
    <w:basedOn w:val="686"/>
    <w:uiPriority w:val="0"/>
    <w:qFormat/>
    <w:pPr>
      <w:ind w:firstLine="480"/>
      <w:spacing w:line="280" w:lineRule="atLeast"/>
      <w:widowControl/>
    </w:pPr>
    <w:rPr>
      <w:rFonts w:ascii="宋体" w:cs="宋体"/>
      <w:sz w:val="24"/>
    </w:rPr>
  </w:style>
  <w:style w:type="paragraph" w:styleId="1110" w:customStyle="1">
    <w:name w:val="标书2"/>
    <w:next w:val="1052"/>
    <w:uiPriority w:val="0"/>
    <w:qFormat/>
    <w:rPr>
      <w:rFonts w:hint="default" w:ascii="Times New Roman" w:hAnsi="Times New Roman" w:eastAsia="黑体" w:cs="宋体"/>
      <w:b/>
      <w:sz w:val="44"/>
      <w:lang w:val="en-US" w:eastAsia="zh-CN" w:bidi="ar-SA"/>
    </w:rPr>
  </w:style>
  <w:style w:type="paragraph" w:styleId="1111" w:customStyle="1">
    <w:name w:val="表格文字"/>
    <w:basedOn w:val="686"/>
    <w:uiPriority w:val="0"/>
    <w:qFormat/>
    <w:pPr>
      <w:jc w:val="left"/>
    </w:pPr>
    <w:rPr>
      <w:sz w:val="18"/>
    </w:rPr>
  </w:style>
  <w:style w:type="paragraph" w:styleId="1112"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13" w:customStyle="1">
    <w:name w:val="保密事宜格式"/>
    <w:basedOn w:val="994"/>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14"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15" w:customStyle="1">
    <w:name w:val="È±Ê¡ÎÄ±¾"/>
    <w:basedOn w:val="686"/>
    <w:uiPriority w:val="0"/>
    <w:qFormat/>
    <w:pPr>
      <w:jc w:val="left"/>
      <w:spacing w:line="360" w:lineRule="auto"/>
      <w:widowControl/>
    </w:pPr>
    <w:rPr>
      <w:sz w:val="24"/>
      <w:szCs w:val="20"/>
    </w:rPr>
  </w:style>
  <w:style w:type="paragraph" w:styleId="1116" w:customStyle="1">
    <w:name w:val=" Char Char Char Char Char Char Char"/>
    <w:basedOn w:val="686"/>
    <w:uiPriority w:val="0"/>
    <w:qFormat/>
    <w:pPr>
      <w:jc w:val="left"/>
      <w:spacing w:after="160" w:line="240" w:lineRule="exact"/>
      <w:widowControl/>
    </w:pPr>
    <w:rPr>
      <w:rFonts w:ascii="Verdana" w:hAnsi="Verdana"/>
      <w:sz w:val="20"/>
      <w:szCs w:val="20"/>
      <w:lang w:eastAsia="en-US"/>
    </w:rPr>
  </w:style>
  <w:style w:type="paragraph" w:styleId="1117" w:customStyle="1">
    <w:name w:val="附图居中"/>
    <w:basedOn w:val="686"/>
    <w:next w:val="1091"/>
    <w:uiPriority w:val="0"/>
    <w:qFormat/>
    <w:pPr>
      <w:ind w:left="1271" w:hanging="420"/>
      <w:jc w:val="center"/>
      <w:keepNext/>
      <w:spacing w:line="360" w:lineRule="auto"/>
      <w:tabs>
        <w:tab w:val="left" w:pos="0" w:leader="none"/>
      </w:tabs>
    </w:pPr>
    <w:rPr>
      <w:caps/>
      <w:sz w:val="24"/>
    </w:rPr>
  </w:style>
  <w:style w:type="paragraph" w:styleId="1118" w:customStyle="1">
    <w:name w:val="pa-6"/>
    <w:basedOn w:val="686"/>
    <w:uiPriority w:val="0"/>
    <w:qFormat/>
    <w:pPr>
      <w:spacing w:line="360" w:lineRule="atLeast"/>
      <w:widowControl/>
    </w:pPr>
    <w:rPr>
      <w:rFonts w:ascii="宋体"/>
      <w:sz w:val="24"/>
      <w:szCs w:val="20"/>
    </w:rPr>
  </w:style>
  <w:style w:type="paragraph" w:styleId="1119" w:customStyle="1">
    <w:name w:val="规范正文"/>
    <w:basedOn w:val="686"/>
    <w:uiPriority w:val="0"/>
    <w:qFormat/>
    <w:pPr>
      <w:ind w:left="480"/>
      <w:spacing w:line="360" w:lineRule="auto"/>
    </w:pPr>
    <w:rPr>
      <w:sz w:val="24"/>
      <w:szCs w:val="20"/>
    </w:rPr>
  </w:style>
  <w:style w:type="paragraph" w:styleId="1120" w:customStyle="1">
    <w:name w:val="缺省文本"/>
    <w:basedOn w:val="686"/>
    <w:uiPriority w:val="0"/>
    <w:qFormat/>
    <w:pPr>
      <w:jc w:val="left"/>
    </w:pPr>
    <w:rPr>
      <w:sz w:val="24"/>
      <w:szCs w:val="20"/>
    </w:rPr>
  </w:style>
  <w:style w:type="paragraph" w:styleId="1121" w:customStyle="1">
    <w:name w:val="序号-----------"/>
    <w:basedOn w:val="686"/>
    <w:uiPriority w:val="0"/>
    <w:qFormat/>
    <w:pPr>
      <w:jc w:val="left"/>
      <w:widowControl/>
    </w:pPr>
    <w:rPr>
      <w:rFonts w:ascii="宋体"/>
      <w:bCs/>
      <w:szCs w:val="21"/>
    </w:rPr>
  </w:style>
  <w:style w:type="paragraph" w:styleId="1122" w:customStyle="1">
    <w:name w:val="font8"/>
    <w:basedOn w:val="686"/>
    <w:uiPriority w:val="0"/>
    <w:qFormat/>
    <w:pPr>
      <w:jc w:val="left"/>
      <w:spacing w:before="100" w:beforeAutospacing="1" w:after="100" w:afterAutospacing="1"/>
      <w:widowControl/>
    </w:pPr>
    <w:rPr>
      <w:rFonts w:ascii="Arial" w:hAnsi="Arial" w:cs="Arial"/>
      <w:color w:val="000000"/>
      <w:sz w:val="18"/>
      <w:szCs w:val="18"/>
    </w:rPr>
  </w:style>
  <w:style w:type="paragraph" w:styleId="1123" w:customStyle="1">
    <w:name w:val="表格标题"/>
    <w:basedOn w:val="686"/>
    <w:uiPriority w:val="0"/>
    <w:qFormat/>
    <w:pPr>
      <w:jc w:val="center"/>
    </w:pPr>
    <w:rPr>
      <w:b/>
    </w:rPr>
  </w:style>
  <w:style w:type="paragraph" w:styleId="1124" w:customStyle="1">
    <w:name w:val="章标题"/>
    <w:next w:val="1076"/>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25" w:customStyle="1">
    <w:name w:val="首页单位日期"/>
    <w:basedOn w:val="686"/>
    <w:uiPriority w:val="0"/>
    <w:qFormat/>
    <w:pPr>
      <w:jc w:val="center"/>
      <w:widowControl/>
    </w:pPr>
    <w:rPr>
      <w:rFonts w:ascii="宋体" w:cs="宋体"/>
      <w:bCs/>
      <w:sz w:val="28"/>
      <w:szCs w:val="20"/>
    </w:rPr>
  </w:style>
  <w:style w:type="paragraph" w:styleId="1126" w:customStyle="1">
    <w:name w:val="样式 正文缩进 + (中文) 仿宋_GB2312 小四 Char"/>
    <w:basedOn w:val="869"/>
    <w:uiPriority w:val="0"/>
    <w:qFormat/>
    <w:pPr>
      <w:ind w:firstLine="200"/>
      <w:spacing w:line="360" w:lineRule="auto"/>
    </w:pPr>
    <w:rPr>
      <w:rFonts w:ascii="宋体"/>
      <w:sz w:val="24"/>
      <w:szCs w:val="24"/>
    </w:rPr>
  </w:style>
  <w:style w:type="paragraph" w:styleId="1127" w:customStyle="1">
    <w:name w:val="项目"/>
    <w:basedOn w:val="686"/>
    <w:uiPriority w:val="0"/>
    <w:qFormat/>
    <w:pPr>
      <w:ind w:left="840" w:hanging="420"/>
      <w:spacing w:before="60" w:after="60" w:line="360" w:lineRule="auto"/>
      <w:tabs>
        <w:tab w:val="left" w:pos="840" w:leader="none"/>
      </w:tabs>
    </w:pPr>
    <w:rPr>
      <w:rFonts w:ascii="宋体"/>
      <w:szCs w:val="20"/>
    </w:rPr>
  </w:style>
  <w:style w:type="paragraph" w:styleId="1128" w:customStyle="1">
    <w:name w:val="默认段落字体 Para Char"/>
    <w:basedOn w:val="686"/>
    <w:uiPriority w:val="0"/>
    <w:qFormat/>
    <w:rPr>
      <w:rFonts w:ascii="宋体"/>
      <w:b/>
      <w:sz w:val="28"/>
      <w:szCs w:val="28"/>
    </w:rPr>
  </w:style>
  <w:style w:type="paragraph" w:styleId="1129" w:customStyle="1">
    <w:name w:val="篇名"/>
    <w:next w:val="866"/>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30" w:customStyle="1">
    <w:name w:val="Char1"/>
    <w:basedOn w:val="686"/>
    <w:uiPriority w:val="0"/>
    <w:qFormat/>
  </w:style>
  <w:style w:type="paragraph" w:styleId="1131" w:customStyle="1">
    <w:name w:val="表头"/>
    <w:basedOn w:val="1088"/>
    <w:uiPriority w:val="0"/>
    <w:qFormat/>
    <w:pPr>
      <w:ind w:left="0" w:firstLine="0"/>
      <w:spacing w:line="240" w:lineRule="auto"/>
    </w:pPr>
    <w:rPr>
      <w:sz w:val="20"/>
    </w:rPr>
  </w:style>
  <w:style w:type="paragraph" w:styleId="1132" w:customStyle="1">
    <w:name w:val="表格序号"/>
    <w:uiPriority w:val="0"/>
    <w:qFormat/>
    <w:rPr>
      <w:rFonts w:hint="default" w:ascii="Times New Roman" w:hAnsi="Times New Roman" w:eastAsia="仿宋_GB2312" w:cs="宋体"/>
      <w:sz w:val="21"/>
      <w:lang w:val="en-US" w:eastAsia="zh-CN" w:bidi="ar-SA"/>
    </w:rPr>
  </w:style>
  <w:style w:type="paragraph" w:styleId="1133" w:customStyle="1">
    <w:name w:val="Char Char Char Char1"/>
    <w:basedOn w:val="686"/>
    <w:uiPriority w:val="0"/>
    <w:qFormat/>
    <w:pPr>
      <w:ind w:firstLine="200"/>
      <w:spacing w:line="360" w:lineRule="auto"/>
    </w:pPr>
    <w:rPr>
      <w:sz w:val="24"/>
      <w:szCs w:val="20"/>
    </w:rPr>
  </w:style>
  <w:style w:type="paragraph" w:styleId="1134" w:customStyle="1">
    <w:name w:val="标书3"/>
    <w:next w:val="1052"/>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35" w:customStyle="1">
    <w:name w:val="首页小标题"/>
    <w:next w:val="1112"/>
    <w:uiPriority w:val="0"/>
    <w:qFormat/>
    <w:pPr>
      <w:jc w:val="center"/>
    </w:pPr>
    <w:rPr>
      <w:rFonts w:hint="default" w:ascii="Times New Roman" w:hAnsi="Times New Roman" w:eastAsia="宋体" w:cs="宋体"/>
      <w:sz w:val="44"/>
      <w:lang w:val="en-US" w:eastAsia="zh-CN" w:bidi="ar-SA"/>
    </w:rPr>
  </w:style>
  <w:style w:type="paragraph" w:styleId="1136" w:customStyle="1">
    <w:name w:val="新段落缩进"/>
    <w:basedOn w:val="686"/>
    <w:uiPriority w:val="0"/>
    <w:qFormat/>
    <w:pPr>
      <w:ind w:firstLine="200"/>
      <w:spacing w:line="400" w:lineRule="exact"/>
    </w:pPr>
    <w:rPr>
      <w:rFonts w:ascii="仿宋_GB2312" w:eastAsia="仿宋_GB2312"/>
      <w:sz w:val="24"/>
    </w:rPr>
  </w:style>
  <w:style w:type="paragraph" w:styleId="1137" w:customStyle="1">
    <w:name w:val="pa-2"/>
    <w:basedOn w:val="686"/>
    <w:uiPriority w:val="0"/>
    <w:qFormat/>
    <w:pPr>
      <w:spacing w:line="360" w:lineRule="atLeast"/>
      <w:widowControl/>
    </w:pPr>
    <w:rPr>
      <w:rFonts w:ascii="宋体" w:cs="宋体"/>
      <w:sz w:val="24"/>
    </w:rPr>
  </w:style>
  <w:style w:type="paragraph" w:styleId="1138" w:customStyle="1">
    <w:name w:val="四级条标题"/>
    <w:basedOn w:val="1082"/>
    <w:next w:val="1076"/>
    <w:uiPriority w:val="0"/>
    <w:qFormat/>
    <w:pPr>
      <w:ind w:left="0"/>
      <w:outlineLvl w:val="5"/>
    </w:pPr>
  </w:style>
  <w:style w:type="paragraph" w:styleId="1139" w:customStyle="1">
    <w:name w:val="保密事宜内容"/>
    <w:basedOn w:val="686"/>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40" w:customStyle="1">
    <w:name w:val="Char1 Char Char Char"/>
    <w:basedOn w:val="686"/>
    <w:uiPriority w:val="0"/>
    <w:qFormat/>
    <w:rPr>
      <w:szCs w:val="20"/>
    </w:rPr>
  </w:style>
  <w:style w:type="paragraph" w:styleId="1141" w:customStyle="1">
    <w:name w:val="正文 + 宋体"/>
    <w:basedOn w:val="686"/>
    <w:uiPriority w:val="0"/>
    <w:qFormat/>
    <w:pPr>
      <w:ind w:firstLine="250"/>
    </w:pPr>
    <w:rPr>
      <w:rFonts w:ascii="宋体"/>
      <w:szCs w:val="21"/>
    </w:rPr>
  </w:style>
  <w:style w:type="paragraph" w:styleId="1142" w:customStyle="1">
    <w:name w:val="xl31"/>
    <w:basedOn w:val="686"/>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43" w:customStyle="1">
    <w:name w:val="pbody"/>
    <w:basedOn w:val="686"/>
    <w:uiPriority w:val="0"/>
    <w:qFormat/>
    <w:pPr>
      <w:jc w:val="left"/>
      <w:spacing w:before="100" w:beforeAutospacing="1" w:after="100" w:afterAutospacing="1" w:line="360" w:lineRule="auto"/>
      <w:widowControl/>
    </w:pPr>
    <w:rPr>
      <w:rFonts w:ascii="宋体" w:cs="宋体"/>
      <w:sz w:val="24"/>
    </w:rPr>
  </w:style>
  <w:style w:type="paragraph" w:styleId="1144" w:customStyle="1">
    <w:name w:val="xl42"/>
    <w:basedOn w:val="68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45" w:customStyle="1">
    <w:name w:val="txt"/>
    <w:basedOn w:val="686"/>
    <w:uiPriority w:val="0"/>
    <w:qFormat/>
    <w:pPr>
      <w:jc w:val="left"/>
      <w:spacing w:before="100" w:beforeAutospacing="1" w:after="100" w:afterAutospacing="1"/>
      <w:widowControl/>
    </w:pPr>
    <w:rPr>
      <w:rFonts w:ascii="宋体" w:cs="宋体"/>
      <w:sz w:val="24"/>
    </w:rPr>
  </w:style>
  <w:style w:type="paragraph" w:styleId="1146" w:customStyle="1">
    <w:name w:val="xl37"/>
    <w:basedOn w:val="68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47"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48" w:customStyle="1">
    <w:name w:val="样式 序号----------- + 仿宋_GB2312"/>
    <w:basedOn w:val="1121"/>
    <w:uiPriority w:val="0"/>
    <w:qFormat/>
    <w:pPr>
      <w:ind w:firstLine="200"/>
      <w:spacing w:line="360" w:lineRule="auto"/>
    </w:pPr>
    <w:rPr>
      <w:rFonts w:ascii="仿宋_GB2312" w:eastAsia="仿宋_GB2312"/>
      <w:bCs w:val="0"/>
    </w:rPr>
  </w:style>
  <w:style w:type="paragraph" w:styleId="1149" w:customStyle="1">
    <w:name w:val="xl41"/>
    <w:basedOn w:val="686"/>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50" w:customStyle="1">
    <w:name w:val="Char11"/>
    <w:basedOn w:val="686"/>
    <w:uiPriority w:val="0"/>
    <w:qFormat/>
    <w:rPr>
      <w:szCs w:val="21"/>
    </w:rPr>
  </w:style>
  <w:style w:type="paragraph" w:styleId="1151" w:customStyle="1">
    <w:name w:val="样式 序号----------- + 仿宋_GB23121"/>
    <w:basedOn w:val="1121"/>
    <w:uiPriority w:val="0"/>
    <w:qFormat/>
    <w:pPr>
      <w:spacing w:line="360" w:lineRule="auto"/>
    </w:pPr>
    <w:rPr>
      <w:rFonts w:ascii="仿宋_GB2312" w:eastAsia="仿宋_GB2312"/>
      <w:bCs w:val="0"/>
    </w:rPr>
  </w:style>
  <w:style w:type="paragraph" w:styleId="1152" w:customStyle="1">
    <w:name w:val="pa-9"/>
    <w:basedOn w:val="686"/>
    <w:uiPriority w:val="0"/>
    <w:qFormat/>
    <w:pPr>
      <w:jc w:val="center"/>
      <w:spacing w:line="360" w:lineRule="atLeast"/>
      <w:widowControl/>
    </w:pPr>
    <w:rPr>
      <w:rFonts w:ascii="宋体" w:cs="宋体"/>
      <w:sz w:val="24"/>
    </w:rPr>
  </w:style>
  <w:style w:type="paragraph" w:styleId="1153" w:customStyle="1">
    <w:name w:val="pa-3"/>
    <w:basedOn w:val="686"/>
    <w:uiPriority w:val="0"/>
    <w:qFormat/>
    <w:pPr>
      <w:jc w:val="left"/>
      <w:spacing w:before="150" w:after="150"/>
      <w:widowControl/>
    </w:pPr>
    <w:rPr>
      <w:rFonts w:ascii="宋体" w:cs="宋体"/>
      <w:sz w:val="24"/>
    </w:rPr>
  </w:style>
  <w:style w:type="paragraph" w:styleId="1154" w:customStyle="1">
    <w:name w:val="pa-5"/>
    <w:basedOn w:val="686"/>
    <w:uiPriority w:val="0"/>
    <w:qFormat/>
    <w:pPr>
      <w:spacing w:line="280" w:lineRule="atLeast"/>
      <w:widowControl/>
    </w:pPr>
    <w:rPr>
      <w:rFonts w:ascii="宋体" w:cs="宋体"/>
      <w:sz w:val="24"/>
    </w:rPr>
  </w:style>
  <w:style w:type="paragraph" w:styleId="1155" w:customStyle="1">
    <w:name w:val="xl39"/>
    <w:basedOn w:val="68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56" w:customStyle="1">
    <w:name w:val="font9"/>
    <w:basedOn w:val="686"/>
    <w:uiPriority w:val="0"/>
    <w:qFormat/>
    <w:pPr>
      <w:jc w:val="left"/>
      <w:spacing w:before="100" w:beforeAutospacing="1" w:after="100" w:afterAutospacing="1"/>
      <w:widowControl/>
    </w:pPr>
    <w:rPr>
      <w:rFonts w:ascii="宋体"/>
      <w:color w:val="000000"/>
      <w:sz w:val="18"/>
      <w:szCs w:val="18"/>
    </w:rPr>
  </w:style>
  <w:style w:type="paragraph" w:styleId="1157" w:customStyle="1">
    <w:name w:val="p0"/>
    <w:basedOn w:val="686"/>
    <w:uiPriority w:val="0"/>
    <w:qFormat/>
    <w:pPr>
      <w:widowControl/>
    </w:pPr>
    <w:rPr>
      <w:szCs w:val="21"/>
    </w:rPr>
  </w:style>
  <w:style w:type="paragraph" w:styleId="1158"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59" w:customStyle="1">
    <w:name w:val="表格正文"/>
    <w:basedOn w:val="686"/>
    <w:uiPriority w:val="0"/>
    <w:qFormat/>
    <w:pPr>
      <w:spacing w:line="300" w:lineRule="auto"/>
      <w:tabs>
        <w:tab w:val="left" w:pos="420" w:leader="none"/>
      </w:tabs>
    </w:pPr>
  </w:style>
  <w:style w:type="paragraph" w:styleId="1160" w:customStyle="1">
    <w:name w:val="首页标题小初"/>
    <w:uiPriority w:val="0"/>
    <w:qFormat/>
    <w:pPr>
      <w:jc w:val="center"/>
    </w:pPr>
    <w:rPr>
      <w:rFonts w:hint="default" w:ascii="黑体" w:hAnsi="Times New Roman" w:eastAsia="黑体" w:cs="宋体"/>
      <w:sz w:val="72"/>
      <w:lang w:val="en-US" w:eastAsia="zh-CN" w:bidi="ar-SA"/>
    </w:rPr>
  </w:style>
  <w:style w:type="paragraph" w:styleId="1161" w:customStyle="1">
    <w:name w:val="五级条标题"/>
    <w:basedOn w:val="1138"/>
    <w:next w:val="1076"/>
    <w:uiPriority w:val="0"/>
    <w:qFormat/>
    <w:pPr>
      <w:outlineLvl w:val="6"/>
    </w:pPr>
  </w:style>
  <w:style w:type="paragraph" w:styleId="1162" w:customStyle="1">
    <w:name w:val="Char Char Char Char Char Char Char"/>
    <w:basedOn w:val="686"/>
    <w:uiPriority w:val="0"/>
    <w:qFormat/>
    <w:pPr>
      <w:jc w:val="left"/>
      <w:spacing w:after="160" w:line="240" w:lineRule="exact"/>
      <w:widowControl/>
    </w:pPr>
    <w:rPr>
      <w:rFonts w:ascii="Verdana" w:hAnsi="Verdana"/>
      <w:sz w:val="20"/>
      <w:szCs w:val="20"/>
      <w:lang w:eastAsia="en-US"/>
    </w:rPr>
  </w:style>
  <w:style w:type="paragraph" w:styleId="1163" w:customStyle="1">
    <w:name w:val="ibm-list-next"/>
    <w:basedOn w:val="686"/>
    <w:uiPriority w:val="0"/>
    <w:qFormat/>
    <w:pPr>
      <w:jc w:val="left"/>
      <w:spacing w:before="100" w:beforeAutospacing="1" w:after="100" w:afterAutospacing="1"/>
      <w:widowControl/>
    </w:pPr>
    <w:rPr>
      <w:rFonts w:ascii="宋体" w:cs="宋体"/>
      <w:sz w:val="24"/>
    </w:rPr>
  </w:style>
  <w:style w:type="paragraph" w:styleId="1164" w:customStyle="1">
    <w:name w:val="首页标题 一号"/>
    <w:basedOn w:val="1160"/>
    <w:uiPriority w:val="0"/>
    <w:qFormat/>
    <w:rPr>
      <w:sz w:val="52"/>
    </w:rPr>
  </w:style>
  <w:style w:type="paragraph" w:styleId="1165" w:customStyle="1">
    <w:name w:val="Char Char Char Char Char Char Char Char Char Char2"/>
    <w:basedOn w:val="686"/>
    <w:uiPriority w:val="0"/>
    <w:qFormat/>
    <w:rPr>
      <w:rFonts w:ascii="Tahoma" w:hAnsi="Tahoma"/>
      <w:sz w:val="24"/>
      <w:szCs w:val="20"/>
    </w:rPr>
  </w:style>
  <w:style w:type="paragraph" w:styleId="1166" w:customStyle="1">
    <w:name w:val="正文（编号）"/>
    <w:basedOn w:val="1039"/>
    <w:link w:val="1167"/>
    <w:uiPriority w:val="0"/>
    <w:qFormat/>
    <w:pPr>
      <w:ind w:left="720" w:firstLine="0"/>
      <w:tabs>
        <w:tab w:val="left" w:pos="720" w:leader="none"/>
        <w:tab w:val="left" w:pos="780" w:leader="none"/>
      </w:tabs>
    </w:pPr>
    <w:rPr>
      <w:rFonts w:ascii="Times New Roman" w:hAnsi="Times New Roman"/>
      <w:szCs w:val="24"/>
    </w:rPr>
  </w:style>
  <w:style w:type="character" w:styleId="1167" w:customStyle="1">
    <w:name w:val="正文（编号） Char Char"/>
    <w:link w:val="1166"/>
    <w:uiPriority w:val="0"/>
    <w:qFormat/>
    <w:rPr>
      <w:rFonts w:ascii="Times New Roman" w:hAnsi="Times New Roman"/>
      <w:sz w:val="24"/>
      <w:szCs w:val="24"/>
    </w:rPr>
  </w:style>
  <w:style w:type="paragraph" w:styleId="1168" w:customStyle="1">
    <w:name w:val="表格"/>
    <w:basedOn w:val="686"/>
    <w:uiPriority w:val="0"/>
    <w:qFormat/>
    <w:pPr>
      <w:ind w:firstLine="21"/>
    </w:pPr>
    <w:rPr>
      <w:rFonts w:ascii="宋体"/>
      <w:szCs w:val="20"/>
    </w:rPr>
  </w:style>
  <w:style w:type="character" w:styleId="1169" w:customStyle="1">
    <w:name w:val="正文（缩进） Char Char"/>
    <w:uiPriority w:val="0"/>
    <w:qFormat/>
    <w:rPr>
      <w:rFonts w:eastAsia="宋体"/>
      <w:sz w:val="24"/>
      <w:szCs w:val="24"/>
      <w:lang w:val="en-US" w:eastAsia="zh-CN" w:bidi="ar-SA"/>
    </w:rPr>
  </w:style>
  <w:style w:type="paragraph" w:styleId="1170" w:customStyle="1">
    <w:name w:val=" Char Char Char"/>
    <w:basedOn w:val="686"/>
    <w:uiPriority w:val="0"/>
    <w:qFormat/>
    <w:rPr>
      <w:szCs w:val="21"/>
    </w:rPr>
  </w:style>
  <w:style w:type="paragraph" w:styleId="1171" w:customStyle="1">
    <w:name w:val="样式 正文2 + 首行缩进:  0 厘米 段后: 1.5 行"/>
    <w:basedOn w:val="686"/>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172" w:customStyle="1">
    <w:name w:val="表中文字"/>
    <w:basedOn w:val="686"/>
    <w:uiPriority w:val="0"/>
    <w:qFormat/>
    <w:pPr>
      <w:widowControl/>
    </w:pPr>
    <w:rPr>
      <w:szCs w:val="20"/>
    </w:rPr>
  </w:style>
  <w:style w:type="character" w:styleId="1173" w:customStyle="1">
    <w:name w:val="z1"/>
    <w:uiPriority w:val="0"/>
    <w:qFormat/>
  </w:style>
  <w:style w:type="paragraph" w:styleId="1174" w:customStyle="1">
    <w:name w:val="a1"/>
    <w:basedOn w:val="686"/>
    <w:uiPriority w:val="0"/>
    <w:qFormat/>
    <w:pPr>
      <w:jc w:val="left"/>
      <w:spacing w:before="100" w:beforeAutospacing="1" w:after="100" w:afterAutospacing="1"/>
      <w:widowControl/>
    </w:pPr>
    <w:rPr>
      <w:rFonts w:ascii="宋体"/>
      <w:sz w:val="24"/>
    </w:rPr>
  </w:style>
  <w:style w:type="paragraph" w:styleId="1175" w:customStyle="1">
    <w:name w:val="a0"/>
    <w:basedOn w:val="686"/>
    <w:uiPriority w:val="0"/>
    <w:qFormat/>
    <w:pPr>
      <w:jc w:val="left"/>
      <w:spacing w:before="100" w:beforeAutospacing="1" w:after="100" w:afterAutospacing="1"/>
      <w:widowControl/>
    </w:pPr>
    <w:rPr>
      <w:rFonts w:ascii="宋体"/>
      <w:sz w:val="24"/>
    </w:rPr>
  </w:style>
  <w:style w:type="paragraph" w:styleId="1176" w:customStyle="1">
    <w:name w:val="tabletext"/>
    <w:basedOn w:val="686"/>
    <w:uiPriority w:val="0"/>
    <w:qFormat/>
    <w:pPr>
      <w:jc w:val="left"/>
      <w:spacing w:before="100" w:beforeAutospacing="1" w:after="100" w:afterAutospacing="1"/>
      <w:widowControl/>
    </w:pPr>
    <w:rPr>
      <w:rFonts w:ascii="宋体"/>
      <w:sz w:val="24"/>
    </w:rPr>
  </w:style>
  <w:style w:type="paragraph" w:styleId="1177" w:customStyle="1">
    <w:name w:val="我的样式"/>
    <w:basedOn w:val="686"/>
    <w:uiPriority w:val="0"/>
    <w:qFormat/>
    <w:pPr>
      <w:ind w:firstLine="420"/>
      <w:jc w:val="left"/>
      <w:spacing w:after="120"/>
      <w:widowControl/>
    </w:pPr>
    <w:rPr>
      <w:rFonts w:ascii="宋体"/>
      <w:color w:val="000000"/>
      <w:sz w:val="24"/>
      <w:szCs w:val="16"/>
    </w:rPr>
  </w:style>
  <w:style w:type="paragraph" w:styleId="1178" w:customStyle="1">
    <w:name w:val="Figure and Table Title"/>
    <w:basedOn w:val="686"/>
    <w:uiPriority w:val="0"/>
    <w:qFormat/>
    <w:pPr>
      <w:ind w:left="2160"/>
      <w:jc w:val="left"/>
      <w:widowControl/>
    </w:pPr>
    <w:rPr>
      <w:rFonts w:ascii="Helvetica-Light" w:hAnsi="Helvetica-Light"/>
      <w:b/>
      <w:bCs/>
      <w:sz w:val="20"/>
      <w:lang w:eastAsia="en-US"/>
    </w:rPr>
  </w:style>
  <w:style w:type="paragraph" w:styleId="1179" w:customStyle="1">
    <w:name w:val="Table Text/Title"/>
    <w:basedOn w:val="686"/>
    <w:uiPriority w:val="0"/>
    <w:qFormat/>
    <w:pPr>
      <w:jc w:val="left"/>
      <w:widowControl/>
    </w:pPr>
    <w:rPr>
      <w:rFonts w:ascii="宋体"/>
      <w:b/>
      <w:bCs/>
      <w:sz w:val="20"/>
      <w:szCs w:val="20"/>
      <w:lang w:eastAsia="en-US"/>
    </w:rPr>
  </w:style>
  <w:style w:type="paragraph" w:styleId="1180" w:customStyle="1">
    <w:name w:val="Sourcetext bullet"/>
    <w:basedOn w:val="686"/>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181" w:customStyle="1">
    <w:name w:val="无标题正文 Char Char Char Char Char Char Char Char Char Char Char Char Char Char Char Char Char Char Char Char Char Char Char Char Char Char Char1 Char"/>
    <w:basedOn w:val="686"/>
    <w:uiPriority w:val="0"/>
    <w:qFormat/>
    <w:pPr>
      <w:jc w:val="center"/>
      <w:spacing w:after="160" w:line="240" w:lineRule="exact"/>
      <w:widowControl/>
    </w:pPr>
    <w:rPr>
      <w:rFonts w:ascii="Arial" w:hAnsi="Arial"/>
      <w:sz w:val="20"/>
      <w:szCs w:val="20"/>
      <w:lang w:eastAsia="en-US"/>
    </w:rPr>
  </w:style>
  <w:style w:type="character" w:styleId="1182" w:customStyle="1">
    <w:name w:val="style91"/>
    <w:uiPriority w:val="0"/>
    <w:qFormat/>
    <w:rPr>
      <w:color w:val="2060c0"/>
      <w:sz w:val="24"/>
      <w:szCs w:val="24"/>
    </w:rPr>
  </w:style>
  <w:style w:type="paragraph" w:styleId="1183" w:customStyle="1">
    <w:name w:val="标准小四"/>
    <w:basedOn w:val="686"/>
    <w:uiPriority w:val="0"/>
    <w:qFormat/>
    <w:pPr>
      <w:ind w:firstLine="200"/>
      <w:spacing w:line="360" w:lineRule="auto"/>
    </w:pPr>
    <w:rPr>
      <w:rFonts w:ascii="Arial" w:hAnsi="Arial"/>
      <w:sz w:val="24"/>
      <w:szCs w:val="21"/>
    </w:rPr>
  </w:style>
  <w:style w:type="paragraph" w:styleId="1184" w:customStyle="1">
    <w:name w:val="样式 正文首行缩进 + 宋体 首行缩进:  0.74 厘米"/>
    <w:basedOn w:val="922"/>
    <w:uiPriority w:val="0"/>
    <w:qFormat/>
    <w:pPr>
      <w:ind w:firstLine="210"/>
      <w:spacing w:before="120" w:line="380" w:lineRule="exact"/>
    </w:pPr>
    <w:rPr>
      <w:rFonts w:ascii="宋体" w:eastAsia="宋体" w:cs="宋体"/>
      <w:sz w:val="24"/>
      <w:szCs w:val="20"/>
    </w:rPr>
  </w:style>
  <w:style w:type="paragraph" w:styleId="1185" w:customStyle="1">
    <w:name w:val="默认段落字体 Para Char Char Char Char Char Char Char Char Char1"/>
    <w:basedOn w:val="686"/>
    <w:uiPriority w:val="0"/>
    <w:qFormat/>
    <w:rPr>
      <w:rFonts w:ascii="Tahoma" w:hAnsi="Tahoma"/>
      <w:sz w:val="24"/>
      <w:szCs w:val="20"/>
    </w:rPr>
  </w:style>
  <w:style w:type="paragraph" w:styleId="1186" w:customStyle="1">
    <w:name w:val="正文小四"/>
    <w:basedOn w:val="686"/>
    <w:uiPriority w:val="0"/>
    <w:qFormat/>
    <w:pPr>
      <w:spacing w:line="312" w:lineRule="auto"/>
    </w:pPr>
    <w:rPr>
      <w:sz w:val="24"/>
    </w:rPr>
  </w:style>
  <w:style w:type="paragraph" w:styleId="1187" w:customStyle="1">
    <w:name w:val="ul"/>
    <w:basedOn w:val="686"/>
    <w:uiPriority w:val="0"/>
    <w:qFormat/>
    <w:pPr>
      <w:numPr>
        <w:ilvl w:val="0"/>
        <w:numId w:val="1"/>
      </w:numPr>
      <w:ind w:left="567" w:hanging="85"/>
      <w:jc w:val="left"/>
      <w:spacing w:line="360" w:lineRule="auto"/>
      <w:widowControl/>
      <w:tabs>
        <w:tab w:val="left" w:pos="842" w:leader="none"/>
      </w:tabs>
    </w:pPr>
    <w:rPr>
      <w:sz w:val="24"/>
    </w:rPr>
  </w:style>
  <w:style w:type="paragraph" w:styleId="1188" w:customStyle="1">
    <w:name w:val="Bullet"/>
    <w:basedOn w:val="686"/>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189" w:customStyle="1">
    <w:name w:val="正文（首行缩进）"/>
    <w:basedOn w:val="686"/>
    <w:uiPriority w:val="0"/>
    <w:qFormat/>
    <w:pPr>
      <w:ind w:firstLine="482"/>
      <w:spacing w:before="120" w:line="360" w:lineRule="auto"/>
      <w:widowControl/>
    </w:pPr>
    <w:rPr>
      <w:sz w:val="24"/>
      <w:szCs w:val="20"/>
    </w:rPr>
  </w:style>
  <w:style w:type="character" w:styleId="1190" w:customStyle="1">
    <w:name w:val="style161"/>
    <w:uiPriority w:val="0"/>
    <w:qFormat/>
    <w:rPr>
      <w:rFonts w:ascii="Verdana" w:hAnsi="Verdana" w:eastAsia="宋体"/>
      <w:b/>
      <w:color w:val="0a246a"/>
      <w:sz w:val="24"/>
      <w:szCs w:val="24"/>
      <w:lang w:val="en-US" w:eastAsia="zh-CN" w:bidi="ar-SA"/>
    </w:rPr>
  </w:style>
  <w:style w:type="paragraph" w:styleId="1191" w:customStyle="1">
    <w:name w:val="正文（首行缩进两字）"/>
    <w:basedOn w:val="686"/>
    <w:uiPriority w:val="0"/>
    <w:qFormat/>
    <w:pPr>
      <w:spacing w:line="312" w:lineRule="auto"/>
    </w:pPr>
    <w:rPr>
      <w:rFonts w:ascii="宋体" w:cs="宋体"/>
      <w:sz w:val="24"/>
    </w:rPr>
  </w:style>
  <w:style w:type="paragraph" w:styleId="1192" w:customStyle="1">
    <w:name w:val="正文文字缩进 3"/>
    <w:basedOn w:val="686"/>
    <w:uiPriority w:val="0"/>
    <w:qFormat/>
    <w:pPr>
      <w:ind w:left="420" w:firstLine="420"/>
      <w:spacing w:line="312" w:lineRule="auto"/>
    </w:pPr>
    <w:rPr>
      <w:rFonts w:ascii="黑体" w:hAnsi="黑体" w:cs="宋体"/>
      <w:bCs/>
      <w:color w:val="000000"/>
      <w:sz w:val="24"/>
    </w:rPr>
  </w:style>
  <w:style w:type="paragraph" w:styleId="1193" w:customStyle="1">
    <w:name w:val="技术方案3"/>
    <w:basedOn w:val="686"/>
    <w:uiPriority w:val="0"/>
    <w:qFormat/>
    <w:pPr>
      <w:spacing w:line="360" w:lineRule="auto"/>
    </w:pPr>
    <w:rPr>
      <w:rFonts w:ascii="宋体"/>
      <w:b/>
      <w:bCs/>
      <w:sz w:val="32"/>
    </w:rPr>
  </w:style>
  <w:style w:type="paragraph" w:styleId="1194" w:customStyle="1">
    <w:name w:val="技术方案2"/>
    <w:basedOn w:val="686"/>
    <w:uiPriority w:val="0"/>
    <w:qFormat/>
    <w:pPr>
      <w:spacing w:line="480" w:lineRule="auto"/>
    </w:pPr>
    <w:rPr>
      <w:rFonts w:ascii="宋体"/>
      <w:b/>
      <w:bCs/>
      <w:sz w:val="36"/>
    </w:rPr>
  </w:style>
  <w:style w:type="paragraph" w:styleId="1195" w:customStyle="1">
    <w:name w:val="技术方案正文"/>
    <w:basedOn w:val="686"/>
    <w:uiPriority w:val="0"/>
    <w:qFormat/>
    <w:pPr>
      <w:ind w:firstLine="480"/>
      <w:spacing w:line="360" w:lineRule="auto"/>
    </w:pPr>
    <w:rPr>
      <w:rFonts w:ascii="宋体"/>
      <w:sz w:val="24"/>
    </w:rPr>
  </w:style>
  <w:style w:type="paragraph" w:styleId="119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97" w:customStyle="1">
    <w:name w:val="Normal Paragraph"/>
    <w:basedOn w:val="686"/>
    <w:uiPriority w:val="0"/>
    <w:qFormat/>
    <w:pPr>
      <w:ind w:firstLine="425"/>
      <w:spacing w:before="120" w:line="360" w:lineRule="auto"/>
      <w:widowControl/>
    </w:pPr>
    <w:rPr>
      <w:sz w:val="24"/>
      <w:szCs w:val="20"/>
    </w:rPr>
  </w:style>
  <w:style w:type="paragraph" w:styleId="1198" w:customStyle="1">
    <w:name w:val="Normal Paragraph Char"/>
    <w:basedOn w:val="686"/>
    <w:uiPriority w:val="0"/>
    <w:qFormat/>
    <w:pPr>
      <w:ind w:firstLine="425"/>
      <w:spacing w:before="120" w:line="360" w:lineRule="auto"/>
      <w:widowControl/>
    </w:pPr>
    <w:rPr>
      <w:sz w:val="24"/>
    </w:rPr>
  </w:style>
  <w:style w:type="paragraph" w:styleId="1199" w:customStyle="1">
    <w:name w:val="文档正文"/>
    <w:basedOn w:val="686"/>
    <w:uiPriority w:val="0"/>
    <w:qFormat/>
    <w:rPr>
      <w:rFonts w:ascii="宋体"/>
      <w:szCs w:val="20"/>
    </w:rPr>
  </w:style>
  <w:style w:type="paragraph" w:styleId="1200" w:customStyle="1">
    <w:name w:val="默认段落字体 Para Char Char Char Char Char"/>
    <w:basedOn w:val="686"/>
    <w:uiPriority w:val="0"/>
    <w:qFormat/>
    <w:pPr>
      <w:ind w:firstLine="200"/>
      <w:jc w:val="left"/>
      <w:spacing w:before="100" w:beforeAutospacing="1" w:after="100" w:afterAutospacing="1" w:line="360" w:lineRule="auto"/>
    </w:pPr>
    <w:rPr>
      <w:rFonts w:ascii="Arial" w:hAnsi="Arial"/>
      <w:sz w:val="24"/>
      <w:lang w:eastAsia="en-US"/>
    </w:rPr>
  </w:style>
  <w:style w:type="paragraph" w:styleId="1201" w:customStyle="1">
    <w:name w:val="标题2"/>
    <w:basedOn w:val="686"/>
    <w:uiPriority w:val="0"/>
    <w:qFormat/>
    <w:pPr>
      <w:tabs>
        <w:tab w:val="left" w:pos="0" w:leader="none"/>
      </w:tabs>
    </w:pPr>
    <w:rPr>
      <w:rFonts w:ascii="黑体" w:eastAsia="黑体"/>
      <w:sz w:val="24"/>
    </w:rPr>
  </w:style>
  <w:style w:type="paragraph" w:styleId="1202" w:customStyle="1">
    <w:name w:val=" Char Char Char Char Char Char Char Char Char Char Char Char Char"/>
    <w:basedOn w:val="686"/>
    <w:uiPriority w:val="0"/>
    <w:qFormat/>
    <w:pPr>
      <w:jc w:val="left"/>
      <w:spacing w:after="160" w:line="240" w:lineRule="exact"/>
      <w:widowControl/>
    </w:pPr>
    <w:rPr>
      <w:rFonts w:ascii="Arial" w:hAnsi="Arial" w:eastAsia="Times New Roman" w:cs="Verdana"/>
      <w:b/>
      <w:sz w:val="24"/>
      <w:szCs w:val="32"/>
      <w:lang w:eastAsia="en-US"/>
    </w:rPr>
  </w:style>
  <w:style w:type="paragraph" w:styleId="1203" w:customStyle="1">
    <w:name w:val="样式2"/>
    <w:basedOn w:val="872"/>
    <w:uiPriority w:val="0"/>
    <w:qFormat/>
    <w:pPr>
      <w:spacing w:line="415" w:lineRule="auto"/>
    </w:pPr>
    <w:rPr>
      <w:rFonts w:ascii="Calibri" w:hAnsi="Calibri"/>
      <w:sz w:val="28"/>
      <w:szCs w:val="28"/>
    </w:rPr>
  </w:style>
  <w:style w:type="paragraph" w:styleId="1204" w:customStyle="1">
    <w:name w:val="样式3"/>
    <w:basedOn w:val="872"/>
    <w:uiPriority w:val="0"/>
    <w:qFormat/>
    <w:pPr>
      <w:spacing w:line="415" w:lineRule="auto"/>
    </w:pPr>
    <w:rPr>
      <w:rFonts w:ascii="Calibri" w:hAnsi="Calibri"/>
      <w:sz w:val="28"/>
      <w:szCs w:val="28"/>
    </w:rPr>
  </w:style>
  <w:style w:type="paragraph" w:styleId="1205" w:customStyle="1">
    <w:name w:val="样式4"/>
    <w:basedOn w:val="872"/>
    <w:uiPriority w:val="0"/>
    <w:qFormat/>
    <w:pPr>
      <w:spacing w:line="415" w:lineRule="auto"/>
    </w:pPr>
    <w:rPr>
      <w:rFonts w:ascii="Calibri" w:hAnsi="Calibri"/>
      <w:sz w:val="28"/>
      <w:szCs w:val="28"/>
    </w:rPr>
  </w:style>
  <w:style w:type="paragraph" w:styleId="1206" w:customStyle="1">
    <w:name w:val="样式5"/>
    <w:basedOn w:val="872"/>
    <w:uiPriority w:val="0"/>
    <w:qFormat/>
    <w:pPr>
      <w:spacing w:line="415" w:lineRule="auto"/>
    </w:pPr>
    <w:rPr>
      <w:rFonts w:ascii="Calibri" w:hAnsi="Calibri"/>
      <w:sz w:val="28"/>
      <w:szCs w:val="28"/>
    </w:rPr>
  </w:style>
  <w:style w:type="paragraph" w:styleId="1207" w:customStyle="1">
    <w:name w:val="样式6"/>
    <w:basedOn w:val="951"/>
    <w:uiPriority w:val="0"/>
    <w:qFormat/>
    <w:pPr>
      <w:numPr>
        <w:ilvl w:val="0"/>
        <w:numId w:val="0"/>
      </w:numPr>
      <w:keepLines/>
      <w:keepNext/>
      <w:spacing w:before="260" w:after="260" w:line="415" w:lineRule="auto"/>
      <w:tabs>
        <w:tab w:val="left" w:pos="0" w:leader="none"/>
        <w:tab w:val="clear" w:pos="709" w:leader="none"/>
      </w:tabs>
      <w:outlineLvl w:val="1"/>
    </w:pPr>
    <w:rPr>
      <w:rFonts w:ascii="Times New Roman" w:hAnsi="Times New Roman"/>
      <w:b/>
      <w:bCs/>
      <w:sz w:val="32"/>
      <w:szCs w:val="32"/>
    </w:rPr>
  </w:style>
  <w:style w:type="paragraph" w:styleId="1208" w:customStyle="1">
    <w:name w:val="大汉方案正文 Char"/>
    <w:basedOn w:val="686"/>
    <w:uiPriority w:val="0"/>
    <w:qFormat/>
    <w:pPr>
      <w:ind w:firstLine="200"/>
      <w:spacing w:line="360" w:lineRule="auto"/>
    </w:pPr>
    <w:rPr>
      <w:rFonts w:ascii="Arial" w:hAnsi="Arial"/>
      <w:sz w:val="24"/>
    </w:rPr>
  </w:style>
  <w:style w:type="character" w:styleId="1209" w:customStyle="1">
    <w:name w:val="标题 2 Char Char Char"/>
    <w:uiPriority w:val="0"/>
    <w:qFormat/>
    <w:rPr>
      <w:rFonts w:ascii="Arial" w:hAnsi="Arial" w:eastAsia="宋体" w:cs="Arial"/>
      <w:b/>
      <w:bCs/>
      <w:i/>
      <w:iCs/>
      <w:sz w:val="28"/>
      <w:szCs w:val="28"/>
      <w:lang w:val="en-US" w:eastAsia="zh-CN" w:bidi="ar-SA"/>
    </w:rPr>
  </w:style>
  <w:style w:type="character" w:styleId="1210" w:customStyle="1">
    <w:name w:val="question-title"/>
    <w:uiPriority w:val="0"/>
    <w:qFormat/>
  </w:style>
  <w:style w:type="paragraph" w:styleId="1211" w:customStyle="1">
    <w:name w:val="说明书2级标题"/>
    <w:basedOn w:val="686"/>
    <w:next w:val="1212"/>
    <w:uiPriority w:val="0"/>
    <w:qFormat/>
    <w:pPr>
      <w:numPr>
        <w:ilvl w:val="2"/>
        <w:numId w:val="2"/>
      </w:numPr>
      <w:spacing w:before="100"/>
      <w:tabs>
        <w:tab w:val="left" w:pos="1680" w:leader="none"/>
      </w:tabs>
    </w:pPr>
    <w:rPr>
      <w:rFonts w:eastAsia="黑体"/>
      <w:sz w:val="28"/>
      <w:szCs w:val="28"/>
    </w:rPr>
  </w:style>
  <w:style w:type="paragraph" w:styleId="1212" w:customStyle="1">
    <w:name w:val="说明书3级标题"/>
    <w:basedOn w:val="686"/>
    <w:next w:val="686"/>
    <w:uiPriority w:val="0"/>
    <w:qFormat/>
    <w:pPr>
      <w:numPr>
        <w:ilvl w:val="2"/>
        <w:numId w:val="3"/>
      </w:numPr>
      <w:spacing w:line="360" w:lineRule="auto"/>
      <w:tabs>
        <w:tab w:val="left" w:pos="0" w:leader="none"/>
      </w:tabs>
    </w:pPr>
    <w:rPr>
      <w:rFonts w:eastAsia="黑体"/>
      <w:sz w:val="24"/>
    </w:rPr>
  </w:style>
  <w:style w:type="character" w:styleId="1213" w:customStyle="1">
    <w:name w:val="style15"/>
    <w:uiPriority w:val="0"/>
    <w:qFormat/>
  </w:style>
  <w:style w:type="paragraph" w:styleId="1214" w:customStyle="1">
    <w:name w:val="列出段落[858D7CFB-ED40-4347-BF05-701D383B685F][858D7CFB-ED40-4347-BF05-701D383B685F]"/>
    <w:basedOn w:val="686"/>
    <w:uiPriority w:val="0"/>
    <w:qFormat/>
    <w:pPr>
      <w:ind w:firstLine="200"/>
    </w:pPr>
  </w:style>
  <w:style w:type="paragraph" w:styleId="1215" w:customStyle="1">
    <w:name w:val="默认段落字体 Para Char Char Char Char Char Char Char Char Char1 Char Char Char Char Char Char Char Char"/>
    <w:basedOn w:val="889"/>
    <w:uiPriority w:val="0"/>
    <w:qFormat/>
    <w:rPr>
      <w:rFonts w:ascii="Calibri" w:hAnsi="Calibri"/>
      <w:szCs w:val="22"/>
    </w:rPr>
  </w:style>
  <w:style w:type="paragraph" w:styleId="1216" w:customStyle="1">
    <w:name w:val="style42"/>
    <w:basedOn w:val="686"/>
    <w:uiPriority w:val="0"/>
    <w:qFormat/>
    <w:pPr>
      <w:jc w:val="left"/>
      <w:spacing w:before="100" w:beforeAutospacing="1" w:after="100" w:afterAutospacing="1"/>
      <w:widowControl/>
    </w:pPr>
    <w:rPr>
      <w:rFonts w:ascii="宋体" w:cs="宋体"/>
      <w:color w:val="000000"/>
      <w:sz w:val="15"/>
      <w:szCs w:val="15"/>
    </w:rPr>
  </w:style>
  <w:style w:type="paragraph" w:styleId="1217" w:customStyle="1">
    <w:name w:val="Char Char1 Char Char Char Char Char Char Char Char"/>
    <w:basedOn w:val="686"/>
    <w:uiPriority w:val="0"/>
    <w:qFormat/>
    <w:pPr>
      <w:jc w:val="left"/>
      <w:spacing w:after="160" w:line="240" w:lineRule="exact"/>
      <w:widowControl/>
    </w:pPr>
  </w:style>
  <w:style w:type="paragraph" w:styleId="1218" w:customStyle="1">
    <w:name w:val="技术方案正文样式"/>
    <w:basedOn w:val="686"/>
    <w:uiPriority w:val="0"/>
    <w:qFormat/>
    <w:pPr>
      <w:ind w:firstLine="200"/>
      <w:spacing w:line="400" w:lineRule="exact"/>
    </w:pPr>
    <w:rPr>
      <w:rFonts w:ascii="宋体" w:cs="宋体"/>
      <w:sz w:val="24"/>
      <w:szCs w:val="21"/>
    </w:rPr>
  </w:style>
  <w:style w:type="paragraph" w:styleId="1219" w:customStyle="1">
    <w:name w:val="D&amp;L"/>
    <w:basedOn w:val="910"/>
    <w:uiPriority w:val="0"/>
    <w:qFormat/>
    <w:pPr>
      <w:spacing w:line="240" w:lineRule="atLeast"/>
      <w:pBdr>
        <w:bottom w:val="single" w:color="000000" w:sz="18" w:space="1"/>
      </w:pBdr>
    </w:pPr>
    <w:rPr>
      <w:rFonts w:ascii="Calibri" w:hAnsi="Calibri"/>
      <w:sz w:val="24"/>
      <w:szCs w:val="20"/>
    </w:rPr>
  </w:style>
  <w:style w:type="paragraph" w:styleId="1220" w:customStyle="1">
    <w:name w:val="样式 标题 2 + Times New Roman 四号 非加粗 段前: 5 磅 段后: 0 磅 行距: 固定值 20..."/>
    <w:basedOn w:val="868"/>
    <w:uiPriority w:val="0"/>
    <w:qFormat/>
    <w:pPr>
      <w:jc w:val="both"/>
      <w:spacing w:before="100" w:after="0" w:line="400" w:lineRule="exact"/>
    </w:pPr>
    <w:rPr>
      <w:rFonts w:ascii="Times New Roman" w:hAnsi="Times New Roman" w:eastAsia="黑体" w:cs="宋体"/>
      <w:b w:val="0"/>
      <w:bCs w:val="0"/>
      <w:sz w:val="28"/>
      <w:szCs w:val="20"/>
    </w:rPr>
  </w:style>
  <w:style w:type="paragraph" w:styleId="1221" w:customStyle="1">
    <w:name w:val="Char Char Char Char Char Char Char1 Char"/>
    <w:basedOn w:val="686"/>
    <w:uiPriority w:val="0"/>
    <w:qFormat/>
    <w:rPr>
      <w:rFonts w:ascii="Tahoma" w:hAnsi="Tahoma"/>
      <w:sz w:val="24"/>
      <w:szCs w:val="20"/>
    </w:rPr>
  </w:style>
  <w:style w:type="paragraph" w:styleId="1222" w:customStyle="1">
    <w:name w:val="TOC 标题"/>
    <w:basedOn w:val="866"/>
    <w:next w:val="686"/>
    <w:uiPriority w:val="39"/>
    <w:qFormat/>
    <w:pPr>
      <w:jc w:val="both"/>
      <w:keepLines/>
      <w:spacing w:before="480" w:line="276" w:lineRule="auto"/>
      <w:widowControl/>
      <w:outlineLvl w:val="9"/>
    </w:pPr>
    <w:rPr>
      <w:rFonts w:ascii="Cambria" w:hAnsi="Cambria" w:eastAsia="宋体"/>
      <w:b/>
      <w:color w:val="365f91"/>
      <w:szCs w:val="20"/>
    </w:rPr>
  </w:style>
  <w:style w:type="paragraph" w:styleId="1223" w:customStyle="1">
    <w:name w:val="Normal_0"/>
    <w:uiPriority w:val="0"/>
    <w:qFormat/>
    <w:rPr>
      <w:rFonts w:hint="default" w:ascii="黑体" w:hAnsi="黑体" w:eastAsia="黑体" w:cs="Times New Roman"/>
      <w:b/>
      <w:sz w:val="32"/>
      <w:szCs w:val="24"/>
      <w:lang w:bidi="ar-SA"/>
    </w:rPr>
  </w:style>
  <w:style w:type="paragraph" w:styleId="122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5" w:customStyle="1">
    <w:name w:val="Normal_1"/>
    <w:uiPriority w:val="0"/>
    <w:qFormat/>
    <w:rPr>
      <w:rFonts w:hint="default" w:ascii="黑体" w:hAnsi="黑体" w:eastAsia="黑体" w:cs="Times New Roman"/>
      <w:b/>
      <w:sz w:val="32"/>
      <w:szCs w:val="24"/>
      <w:lang w:bidi="ar-SA"/>
    </w:rPr>
  </w:style>
  <w:style w:type="paragraph" w:styleId="1226"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7"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8"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9" w:customStyle="1">
    <w:name w:val="Normal_2"/>
    <w:uiPriority w:val="0"/>
    <w:qFormat/>
    <w:rPr>
      <w:rFonts w:hint="default" w:ascii="黑体" w:hAnsi="黑体" w:eastAsia="黑体" w:cs="Times New Roman"/>
      <w:b/>
      <w:sz w:val="32"/>
      <w:szCs w:val="24"/>
      <w:lang w:bidi="ar-SA"/>
    </w:rPr>
  </w:style>
  <w:style w:type="paragraph" w:styleId="1230"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1" w:customStyle="1">
    <w:name w:val="Normal_3"/>
    <w:uiPriority w:val="0"/>
    <w:qFormat/>
    <w:rPr>
      <w:rFonts w:hint="default" w:ascii="黑体" w:hAnsi="黑体" w:eastAsia="黑体" w:cs="Times New Roman"/>
      <w:b/>
      <w:sz w:val="32"/>
      <w:szCs w:val="24"/>
      <w:lang w:bidi="ar-SA"/>
    </w:rPr>
  </w:style>
  <w:style w:type="paragraph" w:styleId="1232" w:customStyle="1">
    <w:name w:val="Normal_4"/>
    <w:uiPriority w:val="0"/>
    <w:qFormat/>
    <w:rPr>
      <w:rFonts w:hint="default" w:ascii="黑体" w:hAnsi="黑体" w:eastAsia="黑体" w:cs="Times New Roman"/>
      <w:b/>
      <w:sz w:val="32"/>
      <w:szCs w:val="24"/>
      <w:lang w:bidi="ar-SA"/>
    </w:rPr>
  </w:style>
  <w:style w:type="paragraph" w:styleId="1233" w:customStyle="1">
    <w:name w:val="Normal_5"/>
    <w:uiPriority w:val="0"/>
    <w:qFormat/>
    <w:rPr>
      <w:rFonts w:hint="default" w:ascii="黑体" w:hAnsi="黑体" w:eastAsia="黑体" w:cs="Times New Roman"/>
      <w:b/>
      <w:sz w:val="32"/>
      <w:szCs w:val="24"/>
      <w:lang w:bidi="ar-SA"/>
    </w:rPr>
  </w:style>
  <w:style w:type="paragraph" w:styleId="1234"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5" w:customStyle="1">
    <w:name w:val="Normal_6"/>
    <w:uiPriority w:val="0"/>
    <w:qFormat/>
    <w:rPr>
      <w:rFonts w:hint="default" w:ascii="黑体" w:hAnsi="黑体" w:eastAsia="黑体" w:cs="Times New Roman"/>
      <w:b/>
      <w:sz w:val="32"/>
      <w:szCs w:val="24"/>
      <w:lang w:bidi="ar-SA"/>
    </w:rPr>
  </w:style>
  <w:style w:type="paragraph" w:styleId="1236"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37" w:customStyle="1">
    <w:name w:val="Normal_7"/>
    <w:uiPriority w:val="0"/>
    <w:qFormat/>
    <w:rPr>
      <w:rFonts w:hint="default" w:ascii="黑体" w:hAnsi="黑体" w:eastAsia="黑体" w:cs="Times New Roman"/>
      <w:b/>
      <w:sz w:val="32"/>
      <w:szCs w:val="24"/>
      <w:lang w:bidi="ar-SA"/>
    </w:rPr>
  </w:style>
  <w:style w:type="paragraph" w:styleId="1238" w:customStyle="1">
    <w:name w:val="Normal_8"/>
    <w:uiPriority w:val="0"/>
    <w:qFormat/>
    <w:rPr>
      <w:rFonts w:hint="default" w:ascii="Times New Roman" w:hAnsi="Times New Roman" w:eastAsia="Times New Roman" w:cs="Times New Roman"/>
      <w:sz w:val="24"/>
      <w:szCs w:val="24"/>
      <w:lang w:bidi="ar-SA"/>
    </w:rPr>
  </w:style>
  <w:style w:type="paragraph" w:styleId="1239" w:customStyle="1">
    <w:name w:val="Normal_9"/>
    <w:uiPriority w:val="0"/>
    <w:qFormat/>
    <w:rPr>
      <w:rFonts w:hint="default" w:ascii="黑体" w:hAnsi="黑体" w:eastAsia="黑体" w:cs="Times New Roman"/>
      <w:b/>
      <w:sz w:val="32"/>
      <w:szCs w:val="24"/>
      <w:lang w:bidi="ar-SA"/>
    </w:rPr>
  </w:style>
  <w:style w:type="paragraph" w:styleId="1240"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41" w:customStyle="1">
    <w:name w:val="Normal_10"/>
    <w:uiPriority w:val="0"/>
    <w:qFormat/>
    <w:rPr>
      <w:rFonts w:hint="default" w:ascii="黑体" w:hAnsi="黑体" w:eastAsia="黑体" w:cs="Times New Roman"/>
      <w:b/>
      <w:sz w:val="32"/>
      <w:szCs w:val="24"/>
      <w:lang w:bidi="ar-SA"/>
    </w:rPr>
  </w:style>
  <w:style w:type="paragraph" w:styleId="1242"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3" w:customStyle="1">
    <w:name w:val="正文缩进_0"/>
    <w:basedOn w:val="1242"/>
    <w:link w:val="1244"/>
    <w:uiPriority w:val="0"/>
    <w:unhideWhenUsed/>
    <w:qFormat/>
    <w:pPr>
      <w:ind w:firstLine="420"/>
    </w:pPr>
    <w:rPr>
      <w:szCs w:val="22"/>
    </w:rPr>
  </w:style>
  <w:style w:type="character" w:styleId="1244" w:customStyle="1">
    <w:name w:val="正文缩进 Char1_0"/>
    <w:link w:val="1243"/>
    <w:uiPriority w:val="0"/>
    <w:qFormat/>
    <w:rPr>
      <w:rFonts w:ascii="Times New Roman" w:hAnsi="Times New Roman"/>
      <w:sz w:val="21"/>
      <w:szCs w:val="22"/>
    </w:rPr>
  </w:style>
  <w:style w:type="paragraph" w:styleId="1245" w:customStyle="1">
    <w:name w:val="纯文本_0"/>
    <w:basedOn w:val="1242"/>
    <w:link w:val="1246"/>
    <w:uiPriority w:val="0"/>
    <w:unhideWhenUsed/>
    <w:qFormat/>
    <w:rPr>
      <w:rFonts w:ascii="宋体" w:hAnsi="Courier New"/>
      <w:szCs w:val="21"/>
    </w:rPr>
  </w:style>
  <w:style w:type="character" w:styleId="1246" w:customStyle="1">
    <w:name w:val="纯文本 Char_0"/>
    <w:link w:val="1245"/>
    <w:uiPriority w:val="0"/>
    <w:qFormat/>
    <w:rPr>
      <w:rFonts w:ascii="宋体" w:hAnsi="Courier New"/>
      <w:sz w:val="21"/>
      <w:szCs w:val="21"/>
    </w:rPr>
  </w:style>
  <w:style w:type="paragraph" w:styleId="1247" w:customStyle="1">
    <w:name w:val="Normal_11"/>
    <w:uiPriority w:val="0"/>
    <w:qFormat/>
    <w:rPr>
      <w:rFonts w:hint="default" w:ascii="黑体" w:hAnsi="黑体" w:eastAsia="黑体" w:cs="Times New Roman"/>
      <w:b/>
      <w:sz w:val="32"/>
      <w:szCs w:val="24"/>
      <w:lang w:bidi="ar-SA"/>
    </w:rPr>
  </w:style>
  <w:style w:type="paragraph" w:styleId="1248"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9" w:customStyle="1">
    <w:name w:val="Normal_12"/>
    <w:uiPriority w:val="0"/>
    <w:qFormat/>
    <w:rPr>
      <w:rFonts w:hint="default" w:ascii="黑体" w:hAnsi="黑体" w:eastAsia="黑体" w:cs="Times New Roman"/>
      <w:b/>
      <w:sz w:val="32"/>
      <w:szCs w:val="24"/>
      <w:lang w:bidi="ar-SA"/>
    </w:rPr>
  </w:style>
  <w:style w:type="paragraph" w:styleId="1250"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1" w:customStyle="1">
    <w:name w:val="Normal_13"/>
    <w:uiPriority w:val="0"/>
    <w:qFormat/>
    <w:rPr>
      <w:rFonts w:hint="default" w:ascii="黑体" w:hAnsi="黑体" w:eastAsia="黑体" w:cs="Times New Roman"/>
      <w:b/>
      <w:sz w:val="32"/>
      <w:szCs w:val="24"/>
      <w:lang w:bidi="ar-SA"/>
    </w:rPr>
  </w:style>
  <w:style w:type="paragraph" w:styleId="1252"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3" w:customStyle="1">
    <w:name w:val="Normal_14"/>
    <w:uiPriority w:val="0"/>
    <w:qFormat/>
    <w:rPr>
      <w:rFonts w:hint="default" w:ascii="黑体" w:hAnsi="黑体" w:eastAsia="黑体" w:cs="Times New Roman"/>
      <w:b/>
      <w:sz w:val="32"/>
      <w:szCs w:val="24"/>
      <w:lang w:bidi="ar-SA"/>
    </w:rPr>
  </w:style>
  <w:style w:type="paragraph" w:styleId="1254"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5" w:customStyle="1">
    <w:name w:val="Normal_15"/>
    <w:uiPriority w:val="0"/>
    <w:qFormat/>
    <w:rPr>
      <w:rFonts w:hint="default" w:ascii="黑体" w:hAnsi="黑体" w:eastAsia="黑体" w:cs="Times New Roman"/>
      <w:b/>
      <w:sz w:val="32"/>
      <w:szCs w:val="24"/>
      <w:lang w:bidi="ar-SA"/>
    </w:rPr>
  </w:style>
  <w:style w:type="paragraph" w:styleId="1256"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7" w:customStyle="1">
    <w:name w:val="Normal_16"/>
    <w:uiPriority w:val="0"/>
    <w:qFormat/>
    <w:rPr>
      <w:rFonts w:hint="default" w:ascii="黑体" w:hAnsi="黑体" w:eastAsia="黑体" w:cs="Times New Roman"/>
      <w:b/>
      <w:sz w:val="32"/>
      <w:szCs w:val="24"/>
      <w:lang w:bidi="ar-SA"/>
    </w:rPr>
  </w:style>
  <w:style w:type="paragraph" w:styleId="1258"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9"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60" w:customStyle="1">
    <w:name w:val="Normal_17"/>
    <w:uiPriority w:val="0"/>
    <w:qFormat/>
    <w:rPr>
      <w:rFonts w:hint="default" w:ascii="黑体" w:hAnsi="黑体" w:eastAsia="黑体" w:cs="Times New Roman"/>
      <w:b/>
      <w:sz w:val="32"/>
      <w:szCs w:val="24"/>
      <w:lang w:bidi="ar-SA"/>
    </w:rPr>
  </w:style>
  <w:style w:type="paragraph" w:styleId="1261" w:customStyle="1">
    <w:name w:val="Normal_18"/>
    <w:uiPriority w:val="0"/>
    <w:qFormat/>
    <w:rPr>
      <w:rFonts w:hint="default" w:ascii="黑体" w:hAnsi="黑体" w:eastAsia="黑体" w:cs="Times New Roman"/>
      <w:b/>
      <w:sz w:val="32"/>
      <w:szCs w:val="24"/>
      <w:lang w:bidi="ar-SA"/>
    </w:rPr>
  </w:style>
  <w:style w:type="paragraph" w:styleId="1262"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263" w:customStyle="1">
    <w:name w:val="Normal_0_0"/>
    <w:uiPriority w:val="0"/>
    <w:qFormat/>
    <w:rPr>
      <w:rFonts w:hint="default" w:ascii="黑体" w:hAnsi="黑体" w:eastAsia="黑体" w:cs="Times New Roman"/>
      <w:b/>
      <w:sz w:val="40"/>
      <w:szCs w:val="24"/>
      <w:lang w:bidi="ar-SA"/>
    </w:rPr>
  </w:style>
  <w:style w:type="paragraph" w:styleId="1264" w:customStyle="1">
    <w:name w:val="Normal_1_0"/>
    <w:uiPriority w:val="0"/>
    <w:qFormat/>
    <w:rPr>
      <w:rFonts w:hint="default" w:ascii="Times New Roman" w:hAnsi="Times New Roman" w:eastAsia="Times New Roman" w:cs="Times New Roman"/>
      <w:sz w:val="24"/>
      <w:szCs w:val="24"/>
      <w:lang w:bidi="ar-SA"/>
    </w:rPr>
  </w:style>
  <w:style w:type="paragraph" w:styleId="1265" w:customStyle="1">
    <w:name w:val="Normal1"/>
    <w:uiPriority w:val="0"/>
    <w:qFormat/>
    <w:rPr>
      <w:rFonts w:hint="default" w:ascii="Times New Roman" w:hAnsi="Times New Roman" w:eastAsia="Times New Roman" w:cs="Times New Roman"/>
      <w:sz w:val="24"/>
      <w:szCs w:val="24"/>
      <w:lang w:bidi="ar-SA"/>
    </w:rPr>
  </w:style>
  <w:style w:type="paragraph" w:styleId="1266"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7"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268"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269" w:customStyle="1">
    <w:name w:val="标题 2_0"/>
    <w:basedOn w:val="1270"/>
    <w:next w:val="1270"/>
    <w:link w:val="1272"/>
    <w:uiPriority w:val="0"/>
    <w:qFormat/>
    <w:pPr>
      <w:keepLines/>
      <w:keepNext/>
      <w:spacing w:before="260" w:after="260" w:line="413" w:lineRule="auto"/>
      <w:outlineLvl w:val="1"/>
    </w:pPr>
    <w:rPr>
      <w:rFonts w:ascii="Arial" w:hAnsi="Arial" w:eastAsia="黑体"/>
      <w:b/>
      <w:sz w:val="32"/>
      <w:szCs w:val="20"/>
    </w:rPr>
  </w:style>
  <w:style w:type="paragraph" w:styleId="1270" w:customStyle="1">
    <w:name w:val="正文_17"/>
    <w:next w:val="1271"/>
    <w:uiPriority w:val="0"/>
    <w:qFormat/>
    <w:pPr>
      <w:jc w:val="both"/>
      <w:widowControl w:val="off"/>
    </w:pPr>
    <w:rPr>
      <w:rFonts w:hint="default" w:ascii="Calibri" w:hAnsi="Calibri" w:eastAsia="宋体" w:cs="Times New Roman"/>
      <w:sz w:val="21"/>
      <w:szCs w:val="22"/>
      <w:lang w:val="en-US" w:eastAsia="zh-CN" w:bidi="ar-SA"/>
    </w:rPr>
  </w:style>
  <w:style w:type="paragraph" w:styleId="1271" w:customStyle="1">
    <w:name w:val="标题 2_1"/>
    <w:next w:val="1270"/>
    <w:uiPriority w:val="0"/>
    <w:qFormat/>
    <w:pPr>
      <w:jc w:val="both"/>
      <w:keepLines/>
      <w:keepNext/>
      <w:spacing w:before="260" w:after="260" w:line="413" w:lineRule="auto"/>
      <w:widowControl w:val="off"/>
      <w:outlineLvl w:val="1"/>
    </w:pPr>
    <w:rPr>
      <w:rFonts w:hint="default" w:ascii="Arial" w:hAnsi="Arial" w:eastAsia="黑体" w:cs="Times New Roman"/>
      <w:b/>
      <w:sz w:val="32"/>
      <w:szCs w:val="20"/>
    </w:rPr>
  </w:style>
  <w:style w:type="character" w:styleId="1272" w:customStyle="1">
    <w:name w:val="标题 2 Char_0"/>
    <w:link w:val="1269"/>
    <w:uiPriority w:val="0"/>
    <w:qFormat/>
    <w:rPr>
      <w:rFonts w:ascii="Arial" w:hAnsi="Arial" w:eastAsia="黑体"/>
      <w:b/>
      <w:sz w:val="32"/>
    </w:rPr>
  </w:style>
  <w:style w:type="paragraph" w:styleId="1273" w:customStyle="1">
    <w:name w:val="正文1_1"/>
    <w:basedOn w:val="1270"/>
    <w:link w:val="1274"/>
    <w:uiPriority w:val="0"/>
    <w:qFormat/>
    <w:pPr>
      <w:ind w:left="357" w:firstLine="420"/>
      <w:jc w:val="left"/>
      <w:spacing w:line="360" w:lineRule="auto"/>
      <w:widowControl/>
    </w:pPr>
    <w:rPr>
      <w:szCs w:val="20"/>
    </w:rPr>
  </w:style>
  <w:style w:type="character" w:styleId="1274" w:customStyle="1">
    <w:name w:val="正文1 Char_0"/>
    <w:link w:val="1273"/>
    <w:uiPriority w:val="0"/>
    <w:qFormat/>
    <w:rPr>
      <w:sz w:val="21"/>
    </w:rPr>
  </w:style>
  <w:style w:type="paragraph" w:styleId="1275" w:customStyle="1">
    <w:name w:val="标题 4_0"/>
    <w:basedOn w:val="1276"/>
    <w:next w:val="976"/>
    <w:link w:val="1277"/>
    <w:uiPriority w:val="0"/>
    <w:unhideWhenUsed/>
    <w:qFormat/>
    <w:pPr>
      <w:keepLines/>
      <w:keepNext/>
      <w:spacing w:before="280" w:after="290" w:line="372" w:lineRule="auto"/>
      <w:outlineLvl w:val="3"/>
    </w:pPr>
    <w:rPr>
      <w:rFonts w:ascii="Arial" w:hAnsi="Arial" w:eastAsia="黑体"/>
      <w:b/>
      <w:sz w:val="28"/>
      <w:szCs w:val="20"/>
    </w:rPr>
  </w:style>
  <w:style w:type="paragraph" w:styleId="1276" w:customStyle="1">
    <w:name w:val="正文_4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77" w:customStyle="1">
    <w:name w:val="标题 4 Char_0"/>
    <w:link w:val="1275"/>
    <w:uiPriority w:val="0"/>
    <w:qFormat/>
    <w:rPr>
      <w:rFonts w:ascii="Arial" w:hAnsi="Arial" w:eastAsia="黑体"/>
      <w:b/>
      <w:sz w:val="28"/>
    </w:rPr>
  </w:style>
  <w:style w:type="paragraph" w:styleId="1278" w:customStyle="1">
    <w:name w:val="正文_21_0"/>
    <w:next w:val="127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9" w:customStyle="1">
    <w:name w:val="正文文本缩进_1_0"/>
    <w:uiPriority w:val="0"/>
    <w:qFormat/>
    <w:pPr>
      <w:ind w:left="420"/>
      <w:jc w:val="both"/>
      <w:spacing w:after="120"/>
      <w:widowControl w:val="off"/>
    </w:pPr>
    <w:rPr>
      <w:rFonts w:hint="default" w:ascii="Calibri" w:hAnsi="Calibri" w:eastAsia="宋体" w:cs="Times New Roman"/>
      <w:sz w:val="21"/>
      <w:szCs w:val="22"/>
      <w:lang w:val="en-US" w:eastAsia="zh-CN" w:bidi="ar-SA"/>
    </w:rPr>
  </w:style>
  <w:style w:type="paragraph" w:styleId="1280" w:customStyle="1">
    <w:name w:val="Normal_19"/>
    <w:basedOn w:val="1268"/>
    <w:next w:val="976"/>
    <w:uiPriority w:val="0"/>
    <w:qFormat/>
    <w:pPr>
      <w:jc w:val="both"/>
      <w:widowControl w:val="off"/>
    </w:pPr>
    <w:rPr>
      <w:rFonts w:hint="default" w:ascii="Calibri" w:hAnsi="Calibri" w:eastAsia="宋体" w:cs="Times New Roman"/>
      <w:lang w:val="en-US" w:eastAsia="zh-CN" w:bidi="ar-SA"/>
    </w:rPr>
  </w:style>
  <w:style w:type="paragraph" w:styleId="1281" w:customStyle="1">
    <w:name w:val="正文_21"/>
    <w:basedOn w:val="1270"/>
    <w:uiPriority w:val="0"/>
    <w:qFormat/>
    <w:pPr>
      <w:jc w:val="both"/>
      <w:widowControl w:val="off"/>
    </w:pPr>
    <w:rPr>
      <w:rFonts w:hint="default" w:ascii="Times New Roman" w:hAnsi="Times New Roman" w:eastAsia="宋体" w:cs="Times New Roman"/>
      <w:lang w:val="en-US" w:eastAsia="zh-CN" w:bidi="ar-SA"/>
    </w:rPr>
  </w:style>
  <w:style w:type="paragraph" w:styleId="1282" w:customStyle="1">
    <w:name w:val="正文_5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3" w:customStyle="1">
    <w:name w:val="Normal_2_0"/>
    <w:uiPriority w:val="0"/>
    <w:qFormat/>
    <w:rPr>
      <w:rFonts w:hint="default" w:ascii="黑体" w:hAnsi="黑体" w:eastAsia="黑体" w:cs="Times New Roman"/>
      <w:b/>
      <w:sz w:val="32"/>
      <w:szCs w:val="24"/>
      <w:lang w:bidi="ar-SA"/>
    </w:rPr>
  </w:style>
  <w:style w:type="paragraph" w:styleId="1284"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285"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paragraph" w:styleId="1286"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287"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288" w:customStyle="1">
    <w:name w:val="Normal_5_0"/>
    <w:uiPriority w:val="0"/>
    <w:qFormat/>
    <w:rPr>
      <w:rFonts w:hint="default" w:ascii="黑体" w:hAnsi="黑体" w:eastAsia="黑体" w:cs="Times New Roman"/>
      <w:b/>
      <w:sz w:val="32"/>
      <w:szCs w:val="24"/>
      <w:lang w:bidi="ar-SA"/>
    </w:rPr>
  </w:style>
  <w:style w:type="paragraph" w:styleId="1289" w:customStyle="1">
    <w:name w:val="Normal_6_0"/>
    <w:uiPriority w:val="0"/>
    <w:qFormat/>
    <w:pPr>
      <w:jc w:val="both"/>
      <w:widowControl w:val="off"/>
    </w:pPr>
    <w:rPr>
      <w:rFonts w:hint="default" w:ascii="Calibri" w:hAnsi="Calibri" w:eastAsia="宋体" w:cs="Times New Roman"/>
      <w:sz w:val="21"/>
      <w:szCs w:val="22"/>
      <w:lang w:bidi="ar-SA"/>
    </w:rPr>
  </w:style>
  <w:style w:type="paragraph" w:styleId="1290" w:customStyle="1">
    <w:name w:val="Normal_7_0"/>
    <w:uiPriority w:val="0"/>
    <w:qFormat/>
    <w:rPr>
      <w:rFonts w:hint="default" w:ascii="黑体" w:hAnsi="黑体" w:eastAsia="黑体" w:cs="Times New Roman"/>
      <w:b/>
      <w:sz w:val="32"/>
      <w:szCs w:val="24"/>
      <w:lang w:bidi="ar-SA"/>
    </w:rPr>
  </w:style>
  <w:style w:type="paragraph" w:styleId="129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292" w:customStyle="1">
    <w:name w:val="正文_4_0_0"/>
    <w:uiPriority w:val="0"/>
    <w:qFormat/>
    <w:pPr>
      <w:jc w:val="both"/>
      <w:widowControl w:val="off"/>
    </w:pPr>
    <w:rPr>
      <w:rFonts w:hint="default" w:ascii="Calibri" w:hAnsi="Calibri" w:eastAsia="宋体" w:cs="Times New Roman"/>
      <w:sz w:val="21"/>
      <w:szCs w:val="22"/>
      <w:lang w:val="en-US" w:eastAsia="zh-CN" w:bidi="ar-SA"/>
    </w:rPr>
  </w:style>
  <w:style w:type="paragraph" w:styleId="1293" w:customStyle="1">
    <w:name w:val="Normal_8_0"/>
    <w:uiPriority w:val="0"/>
    <w:qFormat/>
    <w:rPr>
      <w:rFonts w:hint="default" w:ascii="黑体" w:hAnsi="黑体" w:eastAsia="黑体" w:cs="Times New Roman"/>
      <w:b/>
      <w:sz w:val="32"/>
      <w:szCs w:val="24"/>
      <w:lang w:bidi="ar-SA"/>
    </w:rPr>
  </w:style>
  <w:style w:type="paragraph" w:styleId="1294" w:customStyle="1">
    <w:name w:val="Normal_9_0"/>
    <w:uiPriority w:val="0"/>
    <w:qFormat/>
    <w:rPr>
      <w:rFonts w:hint="default" w:ascii="Times New Roman" w:hAnsi="Times New Roman" w:eastAsia="Times New Roman" w:cs="Times New Roman"/>
      <w:sz w:val="24"/>
      <w:szCs w:val="24"/>
      <w:lang w:bidi="ar-SA"/>
    </w:rPr>
  </w:style>
  <w:style w:type="paragraph" w:styleId="1295" w:customStyle="1">
    <w:name w:val="Normal_10_0"/>
    <w:uiPriority w:val="0"/>
    <w:qFormat/>
    <w:rPr>
      <w:rFonts w:hint="default" w:ascii="Times New Roman" w:hAnsi="Times New Roman" w:eastAsia="Times New Roman" w:cs="Times New Roman"/>
      <w:sz w:val="24"/>
      <w:szCs w:val="24"/>
      <w:lang w:bidi="ar-SA"/>
    </w:rPr>
  </w:style>
  <w:style w:type="paragraph" w:styleId="1296" w:customStyle="1">
    <w:name w:val="Normal_11_0"/>
    <w:uiPriority w:val="0"/>
    <w:qFormat/>
    <w:rPr>
      <w:rFonts w:hint="default" w:ascii="黑体" w:hAnsi="黑体" w:eastAsia="黑体" w:cs="Times New Roman"/>
      <w:b/>
      <w:sz w:val="32"/>
      <w:szCs w:val="24"/>
      <w:lang w:bidi="ar-SA"/>
    </w:rPr>
  </w:style>
  <w:style w:type="paragraph" w:styleId="1297" w:customStyle="1">
    <w:name w:val="Normal_12_0"/>
    <w:uiPriority w:val="0"/>
    <w:qFormat/>
    <w:pPr>
      <w:jc w:val="both"/>
      <w:widowControl w:val="off"/>
    </w:pPr>
    <w:rPr>
      <w:rFonts w:hint="default" w:ascii="Calibri" w:hAnsi="Calibri" w:eastAsia="宋体" w:cs="Times New Roman"/>
      <w:sz w:val="21"/>
      <w:szCs w:val="22"/>
      <w:lang w:bidi="ar-SA"/>
    </w:rPr>
  </w:style>
  <w:style w:type="paragraph" w:styleId="1298" w:customStyle="1">
    <w:name w:val="正文_9_0"/>
    <w:uiPriority w:val="0"/>
    <w:qFormat/>
    <w:pPr>
      <w:jc w:val="both"/>
      <w:widowControl w:val="off"/>
    </w:pPr>
    <w:rPr>
      <w:rFonts w:hint="default" w:ascii="Calibri" w:hAnsi="Calibri" w:eastAsia="宋体" w:cs="Times New Roman"/>
      <w:sz w:val="21"/>
      <w:szCs w:val="22"/>
      <w:lang w:bidi="ar-SA"/>
    </w:rPr>
  </w:style>
  <w:style w:type="paragraph" w:styleId="1299" w:customStyle="1">
    <w:name w:val="正文_8_1"/>
    <w:uiPriority w:val="0"/>
    <w:qFormat/>
    <w:pPr>
      <w:jc w:val="both"/>
      <w:widowControl w:val="off"/>
    </w:pPr>
    <w:rPr>
      <w:rFonts w:hint="default" w:ascii="Calibri" w:hAnsi="Calibri" w:eastAsia="宋体" w:cs="Times New Roman"/>
      <w:sz w:val="21"/>
      <w:szCs w:val="22"/>
      <w:lang w:bidi="ar-SA"/>
    </w:rPr>
  </w:style>
  <w:style w:type="paragraph" w:styleId="1300" w:customStyle="1">
    <w:name w:val="正文_1_0_0_0_0"/>
    <w:uiPriority w:val="0"/>
    <w:qFormat/>
    <w:pPr>
      <w:jc w:val="both"/>
      <w:widowControl w:val="off"/>
    </w:pPr>
    <w:rPr>
      <w:rFonts w:hint="default" w:ascii="Times New Roman" w:hAnsi="Times New Roman" w:eastAsia="宋体" w:cs="Times New Roman"/>
      <w:sz w:val="21"/>
      <w:lang w:bidi="ar-SA"/>
    </w:rPr>
  </w:style>
  <w:style w:type="paragraph" w:styleId="1301" w:customStyle="1">
    <w:name w:val="列出段落_2"/>
    <w:basedOn w:val="1299"/>
    <w:uiPriority w:val="34"/>
    <w:qFormat/>
    <w:pPr>
      <w:ind w:firstLine="420"/>
    </w:pPr>
  </w:style>
  <w:style w:type="paragraph" w:styleId="1302" w:customStyle="1">
    <w:name w:val="Normal_13_0"/>
    <w:uiPriority w:val="0"/>
    <w:qFormat/>
    <w:rPr>
      <w:rFonts w:hint="default" w:ascii="黑体" w:hAnsi="黑体" w:eastAsia="黑体" w:cs="Times New Roman"/>
      <w:b/>
      <w:sz w:val="32"/>
      <w:szCs w:val="24"/>
      <w:lang w:bidi="ar-SA"/>
    </w:rPr>
  </w:style>
  <w:style w:type="paragraph" w:styleId="1303"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4" w:customStyle="1">
    <w:name w:val="Normal_14_0"/>
    <w:uiPriority w:val="0"/>
    <w:qFormat/>
    <w:rPr>
      <w:rFonts w:hint="default" w:ascii="黑体" w:hAnsi="黑体" w:eastAsia="黑体" w:cs="Times New Roman"/>
      <w:b/>
      <w:sz w:val="32"/>
      <w:szCs w:val="24"/>
      <w:lang w:bidi="ar-SA"/>
    </w:rPr>
  </w:style>
  <w:style w:type="paragraph" w:styleId="1305"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306"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7" w:customStyle="1">
    <w:name w:val="Normal_14_0_0"/>
    <w:uiPriority w:val="0"/>
    <w:qFormat/>
    <w:rPr>
      <w:rFonts w:hint="default" w:ascii="黑体" w:hAnsi="黑体" w:eastAsia="黑体" w:cs="Times New Roman"/>
      <w:b/>
      <w:sz w:val="32"/>
      <w:szCs w:val="24"/>
      <w:lang w:bidi="ar-SA"/>
    </w:rPr>
  </w:style>
  <w:style w:type="paragraph" w:styleId="1308" w:customStyle="1">
    <w:name w:val="正文_12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9" w:customStyle="1">
    <w:name w:val="Normal_15_0"/>
    <w:uiPriority w:val="0"/>
    <w:qFormat/>
    <w:rPr>
      <w:rFonts w:hint="default" w:ascii="黑体" w:hAnsi="黑体" w:eastAsia="黑体" w:cs="Times New Roman"/>
      <w:b/>
      <w:sz w:val="32"/>
      <w:szCs w:val="24"/>
      <w:lang w:bidi="ar-SA"/>
    </w:rPr>
  </w:style>
  <w:style w:type="paragraph" w:styleId="1310"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1" w:customStyle="1">
    <w:name w:val="Normal_16_0"/>
    <w:uiPriority w:val="0"/>
    <w:qFormat/>
    <w:rPr>
      <w:rFonts w:hint="default" w:ascii="黑体" w:hAnsi="黑体" w:eastAsia="黑体" w:cs="Times New Roman"/>
      <w:b/>
      <w:sz w:val="32"/>
      <w:szCs w:val="24"/>
      <w:lang w:bidi="ar-SA"/>
    </w:rPr>
  </w:style>
  <w:style w:type="paragraph" w:styleId="1312" w:customStyle="1">
    <w:name w:val="Normal_0_2"/>
    <w:uiPriority w:val="0"/>
    <w:qFormat/>
    <w:rPr>
      <w:rFonts w:hint="default" w:ascii="黑体" w:hAnsi="黑体" w:eastAsia="黑体" w:cs="Times New Roman"/>
      <w:b/>
      <w:sz w:val="32"/>
      <w:szCs w:val="24"/>
      <w:lang w:bidi="ar-SA"/>
    </w:rPr>
  </w:style>
  <w:style w:type="paragraph" w:styleId="1313" w:customStyle="1">
    <w:name w:val="Normal_1_2"/>
    <w:uiPriority w:val="0"/>
    <w:qFormat/>
    <w:rPr>
      <w:rFonts w:hint="default" w:ascii="Times New Roman" w:hAnsi="Times New Roman" w:eastAsia="Times New Roman" w:cs="Times New Roman"/>
      <w:sz w:val="24"/>
      <w:szCs w:val="24"/>
      <w:lang w:bidi="ar-SA"/>
    </w:rPr>
  </w:style>
  <w:style w:type="paragraph" w:styleId="1314" w:customStyle="1">
    <w:name w:val="Normal_0_3"/>
    <w:uiPriority w:val="0"/>
    <w:qFormat/>
    <w:rPr>
      <w:rFonts w:hint="default" w:ascii="黑体" w:hAnsi="黑体" w:eastAsia="黑体" w:cs="Times New Roman"/>
      <w:b/>
      <w:sz w:val="32"/>
      <w:szCs w:val="24"/>
      <w:lang w:bidi="ar-SA"/>
    </w:rPr>
  </w:style>
  <w:style w:type="paragraph" w:styleId="1315" w:customStyle="1">
    <w:name w:val="正文_19"/>
    <w:uiPriority w:val="0"/>
    <w:qFormat/>
    <w:pPr>
      <w:jc w:val="both"/>
      <w:widowControl w:val="off"/>
    </w:pPr>
    <w:rPr>
      <w:rFonts w:hint="default" w:ascii="Calibri" w:hAnsi="Calibri" w:eastAsia="宋体" w:cs="Times New Roman"/>
      <w:sz w:val="21"/>
      <w:szCs w:val="22"/>
      <w:lang w:val="en-US" w:eastAsia="zh-CN" w:bidi="ar-SA"/>
    </w:rPr>
  </w:style>
  <w:style w:type="table" w:styleId="1316" w:customStyle="1">
    <w:name w:val="Table Normal"/>
    <w:uiPriority w:val="0"/>
    <w:unhideWhenUsed/>
    <w:qFormat/>
    <w:rPr>
      <w:rFonts w:ascii="Times New Roman" w:hAnsi="Times New Roman"/>
      <w:lang w:val="en-US" w:eastAsia="zh-CN" w:bidi="ar-SA"/>
    </w:rPr>
    <w:tblPr/>
  </w:style>
  <w:style w:type="paragraph" w:styleId="1317" w:customStyle="1">
    <w:name w:val="Normal_19_0"/>
    <w:basedOn w:val="1268"/>
    <w:next w:val="976"/>
    <w:uiPriority w:val="0"/>
    <w:qFormat/>
    <w:pPr>
      <w:ind w:left="0" w:right="0"/>
      <w:jc w:val="left"/>
      <w:keepLines w:val="0"/>
      <w:keepNext w:val="0"/>
      <w:spacing w:before="0" w:beforeAutospacing="0" w:after="0" w:afterAutospacing="0"/>
      <w:widowControl/>
      <w:suppressLineNumbers w:val="0"/>
    </w:pPr>
    <w:rPr>
      <w:rFonts w:hint="default" w:ascii="Times New Roman" w:hAnsi="Times New Roman" w:eastAsia="Times New Roman" w:cs="Times New Roman"/>
      <w:sz w:val="24"/>
      <w:szCs w:val="24"/>
      <w:lang w:val="en-US" w:eastAsia="zh-CN"/>
    </w:rPr>
  </w:style>
  <w:style w:type="paragraph" w:styleId="1318" w:customStyle="1">
    <w:name w:val="正文_3_0_0"/>
    <w:basedOn w:val="1270"/>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1"/>
      <w:szCs w:val="20"/>
      <w:lang w:val="en-US" w:eastAsia="zh-CN"/>
    </w:rPr>
  </w:style>
  <w:style w:type="paragraph" w:styleId="1319" w:customStyle="1">
    <w:name w:val="标题 4_0_0"/>
    <w:basedOn w:val="1305"/>
    <w:next w:val="1318"/>
    <w:uiPriority w:val="0"/>
    <w:qFormat/>
    <w:pPr>
      <w:ind w:left="0" w:right="0"/>
      <w:jc w:val="both"/>
      <w:keepLines/>
      <w:keepNext/>
      <w:spacing w:before="280" w:beforeAutospacing="0" w:after="290" w:afterAutospacing="0" w:line="372" w:lineRule="auto"/>
      <w:widowControl w:val="off"/>
      <w:outlineLvl w:val="3"/>
      <w:suppressLineNumbers w:val="0"/>
    </w:pPr>
    <w:rPr>
      <w:rFonts w:ascii="Arial" w:hAnsi="Arial" w:eastAsia="黑体" w:cs="Arial"/>
      <w:b/>
      <w:sz w:val="28"/>
      <w:szCs w:val="22"/>
      <w:lang w:val="en-US" w:eastAsia="zh-CN"/>
    </w:rPr>
  </w:style>
  <w:style w:type="paragraph" w:styleId="1320" w:customStyle="1">
    <w:name w:val="标题 3_0_1"/>
    <w:next w:val="13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1" w:customStyle="1">
    <w:name w:val="正文文本缩进 2_1_0"/>
    <w:basedOn w:val="1305"/>
    <w:uiPriority w:val="0"/>
    <w:qFormat/>
    <w:pPr>
      <w:ind w:left="420" w:right="0"/>
      <w:jc w:val="both"/>
      <w:keepLines w:val="0"/>
      <w:keepNext w:val="0"/>
      <w:spacing w:before="0" w:beforeAutospacing="0" w:after="120" w:afterAutospacing="0" w:line="480" w:lineRule="auto"/>
      <w:widowControl w:val="off"/>
      <w:suppressLineNumbers w:val="0"/>
    </w:pPr>
    <w:rPr>
      <w:rFonts w:hint="default" w:ascii="Calibri" w:hAnsi="Calibri" w:eastAsia="宋体" w:cs="Calibri"/>
      <w:sz w:val="21"/>
      <w:szCs w:val="22"/>
      <w:lang w:val="en-US" w:eastAsia="zh-CN"/>
    </w:rPr>
  </w:style>
  <w:style w:type="paragraph" w:styleId="1322" w:customStyle="1">
    <w:name w:val="正文_5_1"/>
    <w:basedOn w:val="1270"/>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1"/>
      <w:szCs w:val="20"/>
      <w:lang w:val="en-US" w:eastAsia="zh-CN"/>
    </w:rPr>
  </w:style>
  <w:style w:type="paragraph" w:styleId="1323" w:customStyle="1">
    <w:name w:val="正文_22"/>
    <w:basedOn w:val="1270"/>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1"/>
      <w:szCs w:val="22"/>
      <w:lang w:val="en-US" w:eastAsia="zh-CN"/>
    </w:rPr>
  </w:style>
  <w:style w:type="paragraph" w:styleId="1324" w:customStyle="1">
    <w:name w:val="正文_0_2_0"/>
    <w:basedOn w:val="1270"/>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1"/>
      <w:szCs w:val="24"/>
      <w:lang w:val="en-US" w:eastAsia="zh-CN"/>
    </w:rPr>
  </w:style>
  <w:style w:type="paragraph" w:styleId="1325" w:customStyle="1">
    <w:name w:val="正文文本_1_0"/>
    <w:basedOn w:val="1305"/>
    <w:uiPriority w:val="0"/>
    <w:qFormat/>
    <w:pPr>
      <w:ind w:left="0" w:right="0"/>
      <w:jc w:val="both"/>
      <w:keepLines w:val="0"/>
      <w:keepNext w:val="0"/>
      <w:spacing w:before="0" w:beforeAutospacing="0" w:after="120" w:afterAutospacing="0"/>
      <w:widowControl w:val="off"/>
      <w:suppressLineNumbers w:val="0"/>
    </w:pPr>
    <w:rPr>
      <w:rFonts w:hint="default" w:ascii="Calibri" w:hAnsi="Calibri" w:eastAsia="宋体" w:cs="Calibri"/>
      <w:sz w:val="21"/>
      <w:szCs w:val="22"/>
      <w:lang w:val="en-US" w:eastAsia="zh-CN"/>
    </w:rPr>
  </w:style>
  <w:style w:type="paragraph" w:styleId="1326" w:customStyle="1">
    <w:name w:val="Normal_21"/>
    <w:uiPriority w:val="0"/>
    <w:qFormat/>
    <w:pPr>
      <w:jc w:val="both"/>
      <w:widowControl w:val="off"/>
    </w:pPr>
    <w:rPr>
      <w:rFonts w:hint="default" w:ascii="Calibri" w:hAnsi="Calibri" w:eastAsia="宋体" w:cs="Times New Roman"/>
      <w:sz w:val="21"/>
      <w:szCs w:val="22"/>
      <w:lang w:val="en-US" w:eastAsia="zh-CN" w:bidi="ar-SA"/>
    </w:rPr>
  </w:style>
  <w:style w:type="paragraph" w:styleId="1327" w:customStyle="1">
    <w:name w:val="Heading 1_0"/>
    <w:basedOn w:val="970"/>
    <w:next w:val="970"/>
    <w:uiPriority w:val="0"/>
    <w:qFormat/>
    <w:pPr>
      <w:ind w:firstLine="0"/>
      <w:jc w:val="center"/>
      <w:keepLines/>
      <w:keepNext/>
      <w:tabs>
        <w:tab w:val="center" w:pos="4153" w:leader="none"/>
      </w:tabs>
      <w:outlineLvl w:val="0"/>
    </w:pPr>
    <w:rPr>
      <w:rFonts w:ascii="仿宋_GB2312" w:eastAsia="黑体" w:cs="仿宋_GB2312"/>
      <w:sz w:val="30"/>
      <w:szCs w:val="30"/>
    </w:rPr>
  </w:style>
  <w:style w:type="paragraph" w:styleId="1328" w:customStyle="1">
    <w:name w:val="二级标题"/>
    <w:basedOn w:val="969"/>
    <w:uiPriority w:val="0"/>
    <w:qFormat/>
    <w:pPr>
      <w:jc w:val="both"/>
      <w:spacing w:before="20" w:after="20" w:line="500" w:lineRule="exact"/>
    </w:pPr>
    <w:rPr>
      <w:rFonts w:ascii="仿宋_GB2312" w:hAnsi="等线" w:eastAsia="仿宋_GB2312" w:cs="仿宋_GB2312"/>
      <w:lang w:val="en-US" w:eastAsia="zh-CN"/>
    </w:rPr>
  </w:style>
  <w:style w:type="paragraph" w:styleId="1329" w:customStyle="1">
    <w:name w:val="标题 1_0"/>
    <w:next w:val="1281"/>
    <w:uiPriority w:val="0"/>
    <w:qFormat/>
    <w:pPr>
      <w:jc w:val="both"/>
      <w:keepLines/>
      <w:keepNext/>
      <w:spacing w:before="340" w:after="330" w:line="576" w:lineRule="auto"/>
      <w:widowControl w:val="off"/>
      <w:outlineLvl w:val="0"/>
    </w:pPr>
    <w:rPr>
      <w:rFonts w:hint="default" w:ascii="Times New Roman" w:hAnsi="Times New Roman" w:eastAsia="宋体" w:cs="Times New Roman"/>
      <w:b/>
      <w:sz w:val="44"/>
      <w:szCs w:val="20"/>
      <w:lang w:val="en-US" w:eastAsia="zh-CN" w:bidi="ar-SA"/>
    </w:rPr>
  </w:style>
  <w:style w:type="paragraph" w:styleId="1330" w:customStyle="1">
    <w:name w:val="标题 4_1"/>
    <w:next w:val="1281"/>
    <w:uiPriority w:val="0"/>
    <w:qFormat/>
    <w:pPr>
      <w:jc w:val="both"/>
      <w:keepLines/>
      <w:keepNext/>
      <w:spacing w:before="280" w:after="290" w:line="372" w:lineRule="auto"/>
      <w:widowControl w:val="off"/>
      <w:outlineLvl w:val="3"/>
    </w:pPr>
    <w:rPr>
      <w:rFonts w:hint="default" w:ascii="Arial" w:hAnsi="Arial" w:eastAsia="黑体" w:cs="Times New Roman"/>
      <w:b/>
      <w:sz w:val="28"/>
      <w:szCs w:val="22"/>
      <w:lang w:val="en-US" w:eastAsia="zh-CN" w:bidi="ar-SA"/>
    </w:rPr>
  </w:style>
  <w:style w:type="paragraph" w:styleId="1331" w:customStyle="1">
    <w:name w:val="普通(网站)_0"/>
    <w:uiPriority w:val="99"/>
    <w:unhideWhenUsed/>
    <w:qFormat/>
    <w:pPr>
      <w:jc w:val="left"/>
      <w:spacing w:before="100" w:beforeAutospacing="1" w:after="100" w:afterAutospacing="1"/>
      <w:widowControl/>
    </w:pPr>
    <w:rPr>
      <w:rFonts w:hint="default" w:ascii="宋体" w:hAnsi="宋体" w:eastAsia="宋体" w:cs="宋体"/>
      <w:color w:val="000000"/>
      <w:sz w:val="24"/>
      <w:szCs w:val="24"/>
      <w:lang w:val="en-US" w:eastAsia="zh-CN" w:bidi="ar-SA"/>
    </w:rPr>
  </w:style>
  <w:style w:type="paragraph" w:styleId="1332" w:customStyle="1">
    <w:name w:val="标题 3_6"/>
    <w:next w:val="1278"/>
    <w:uiPriority w:val="0"/>
    <w:qFormat/>
    <w:pPr>
      <w:jc w:val="both"/>
      <w:keepLines/>
      <w:keepNext/>
      <w:spacing w:before="260" w:after="260" w:line="413" w:lineRule="auto"/>
      <w:widowControl w:val="off"/>
      <w:outlineLvl w:val="2"/>
    </w:pPr>
    <w:rPr>
      <w:rFonts w:hint="default" w:ascii="Times New Roman" w:hAnsi="Times New Roman" w:eastAsia="Times New Roman" w:cs="Times New Roman"/>
      <w:b/>
      <w:sz w:val="32"/>
      <w:szCs w:val="22"/>
      <w:lang w:val="en-US" w:eastAsia="zh-CN" w:bidi="ar-SA"/>
    </w:rPr>
  </w:style>
  <w:style w:type="paragraph" w:styleId="1333" w:customStyle="1">
    <w:name w:val="普通(网站)11"/>
    <w:uiPriority w:val="99"/>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paragraph" w:styleId="1334" w:customStyle="1">
    <w:name w:val="正文文本缩进_1"/>
    <w:uiPriority w:val="0"/>
    <w:qFormat/>
    <w:pPr>
      <w:ind w:left="420"/>
      <w:jc w:val="both"/>
      <w:spacing w:after="120"/>
      <w:widowControl w:val="off"/>
    </w:pPr>
    <w:rPr>
      <w:rFonts w:hint="default" w:ascii="Calibri" w:hAnsi="Calibri" w:eastAsia="宋体" w:cs="Times New Roman"/>
      <w:sz w:val="21"/>
      <w:szCs w:val="22"/>
      <w:lang w:val="en-US" w:eastAsia="zh-CN" w:bidi="ar-SA"/>
    </w:rPr>
  </w:style>
  <w:style w:type="paragraph" w:styleId="1335" w:customStyle="1">
    <w:name w:val="正文文本_2"/>
    <w:uiPriority w:val="0"/>
    <w:unhideWhenUsed/>
    <w:qFormat/>
    <w:pPr>
      <w:jc w:val="both"/>
      <w:spacing w:after="120"/>
      <w:widowControl w:val="off"/>
    </w:pPr>
    <w:rPr>
      <w:rFonts w:hint="default" w:ascii="Calibri" w:hAnsi="Calibri" w:eastAsia="宋体" w:cs="Calibri"/>
      <w:sz w:val="21"/>
      <w:szCs w:val="22"/>
      <w:lang w:val="en-US" w:eastAsia="zh-CN" w:bidi="ar-SA"/>
    </w:rPr>
  </w:style>
  <w:style w:type="paragraph" w:styleId="1336" w:customStyle="1">
    <w:name w:val="Normal_17_0"/>
    <w:uiPriority w:val="0"/>
    <w:qFormat/>
    <w:rPr>
      <w:rFonts w:hint="default" w:ascii="黑体" w:hAnsi="黑体" w:eastAsia="黑体" w:cs="黑体"/>
      <w:b/>
      <w:sz w:val="32"/>
      <w:szCs w:val="24"/>
      <w:lang w:val="en-US" w:eastAsia="zh-CN" w:bidi="ar-SA"/>
    </w:rPr>
  </w:style>
  <w:style w:type="paragraph" w:styleId="1337" w:customStyle="1">
    <w:name w:val="正文_25"/>
    <w:uiPriority w:val="0"/>
    <w:qFormat/>
    <w:pPr>
      <w:jc w:val="both"/>
      <w:widowControl w:val="off"/>
    </w:pPr>
    <w:rPr>
      <w:rFonts w:ascii="Times New Roman" w:hAnsi="Times New Roman" w:eastAsia="宋体" w:cs="Times New Roman"/>
      <w:sz w:val="21"/>
      <w:szCs w:val="22"/>
      <w:lang w:val="en-US" w:eastAsia="zh-CN" w:bidi="ar-SA"/>
    </w:rPr>
  </w:style>
  <w:style w:type="numbering" w:styleId="13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TEXT"/>
        <w:category>
          <w:name w:val="Common"/>
          <w:gallery w:val="placeholder"/>
        </w:category>
        <w:types>
          <w:type w:val="bbPlcHdr"/>
        </w:types>
        <w:behaviors>
          <w:behavior w:val="content"/>
        </w:behaviors>
      </w:docPartPr>
      <w:docPartBody>
        <w:p>
          <w:r>
            <w:t xml:space="preserve">Your text here</w:t>
          </w:r>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751" w:default="1">
    <w:name w:val="Normal"/>
    <w:qFormat/>
  </w:style>
  <w:style w:type="character" w:styleId="1752" w:default="1">
    <w:name w:val="Default Paragraph Font"/>
    <w:uiPriority w:val="1"/>
    <w:semiHidden/>
    <w:unhideWhenUsed/>
  </w:style>
  <w:style w:type="numbering" w:styleId="1753" w:default="1">
    <w:name w:val="No List"/>
    <w:uiPriority w:val="99"/>
    <w:semiHidden/>
    <w:unhideWhenUsed/>
  </w:style>
  <w:style w:type="paragraph" w:styleId="1754">
    <w:name w:val="Heading 1"/>
    <w:basedOn w:val="1751"/>
    <w:next w:val="1751"/>
    <w:link w:val="1755"/>
    <w:uiPriority w:val="9"/>
    <w:qFormat/>
    <w:pPr>
      <w:keepLines/>
      <w:keepNext/>
      <w:spacing w:before="480" w:after="200"/>
      <w:outlineLvl w:val="0"/>
    </w:pPr>
    <w:rPr>
      <w:rFonts w:ascii="Arial" w:hAnsi="Arial" w:eastAsia="Arial" w:cs="Arial"/>
      <w:sz w:val="40"/>
      <w:szCs w:val="40"/>
    </w:rPr>
  </w:style>
  <w:style w:type="character" w:styleId="1755">
    <w:name w:val="Heading 1 Char"/>
    <w:basedOn w:val="1752"/>
    <w:link w:val="1754"/>
    <w:uiPriority w:val="9"/>
    <w:rPr>
      <w:rFonts w:ascii="Arial" w:hAnsi="Arial" w:eastAsia="Arial" w:cs="Arial"/>
      <w:sz w:val="40"/>
      <w:szCs w:val="40"/>
    </w:rPr>
  </w:style>
  <w:style w:type="paragraph" w:styleId="1756">
    <w:name w:val="Heading 2"/>
    <w:basedOn w:val="1751"/>
    <w:next w:val="1751"/>
    <w:link w:val="1757"/>
    <w:uiPriority w:val="9"/>
    <w:unhideWhenUsed/>
    <w:qFormat/>
    <w:pPr>
      <w:keepLines/>
      <w:keepNext/>
      <w:spacing w:before="360" w:after="200"/>
      <w:outlineLvl w:val="1"/>
    </w:pPr>
    <w:rPr>
      <w:rFonts w:ascii="Arial" w:hAnsi="Arial" w:eastAsia="Arial" w:cs="Arial"/>
      <w:sz w:val="34"/>
    </w:rPr>
  </w:style>
  <w:style w:type="character" w:styleId="1757">
    <w:name w:val="Heading 2 Char"/>
    <w:basedOn w:val="1752"/>
    <w:link w:val="1756"/>
    <w:uiPriority w:val="9"/>
    <w:rPr>
      <w:rFonts w:ascii="Arial" w:hAnsi="Arial" w:eastAsia="Arial" w:cs="Arial"/>
      <w:sz w:val="34"/>
    </w:rPr>
  </w:style>
  <w:style w:type="paragraph" w:styleId="1758">
    <w:name w:val="Heading 3"/>
    <w:basedOn w:val="1751"/>
    <w:next w:val="1751"/>
    <w:link w:val="1759"/>
    <w:uiPriority w:val="9"/>
    <w:unhideWhenUsed/>
    <w:qFormat/>
    <w:pPr>
      <w:keepLines/>
      <w:keepNext/>
      <w:spacing w:before="320" w:after="200"/>
      <w:outlineLvl w:val="2"/>
    </w:pPr>
    <w:rPr>
      <w:rFonts w:ascii="Arial" w:hAnsi="Arial" w:eastAsia="Arial" w:cs="Arial"/>
      <w:sz w:val="30"/>
      <w:szCs w:val="30"/>
    </w:rPr>
  </w:style>
  <w:style w:type="character" w:styleId="1759">
    <w:name w:val="Heading 3 Char"/>
    <w:basedOn w:val="1752"/>
    <w:link w:val="1758"/>
    <w:uiPriority w:val="9"/>
    <w:rPr>
      <w:rFonts w:ascii="Arial" w:hAnsi="Arial" w:eastAsia="Arial" w:cs="Arial"/>
      <w:sz w:val="30"/>
      <w:szCs w:val="30"/>
    </w:rPr>
  </w:style>
  <w:style w:type="paragraph" w:styleId="1760">
    <w:name w:val="Heading 4"/>
    <w:basedOn w:val="1751"/>
    <w:next w:val="1751"/>
    <w:link w:val="1761"/>
    <w:uiPriority w:val="9"/>
    <w:unhideWhenUsed/>
    <w:qFormat/>
    <w:pPr>
      <w:keepLines/>
      <w:keepNext/>
      <w:spacing w:before="320" w:after="200"/>
      <w:outlineLvl w:val="3"/>
    </w:pPr>
    <w:rPr>
      <w:rFonts w:ascii="Arial" w:hAnsi="Arial" w:eastAsia="Arial" w:cs="Arial"/>
      <w:b/>
      <w:bCs/>
      <w:sz w:val="26"/>
      <w:szCs w:val="26"/>
    </w:rPr>
  </w:style>
  <w:style w:type="character" w:styleId="1761">
    <w:name w:val="Heading 4 Char"/>
    <w:basedOn w:val="1752"/>
    <w:link w:val="1760"/>
    <w:uiPriority w:val="9"/>
    <w:rPr>
      <w:rFonts w:ascii="Arial" w:hAnsi="Arial" w:eastAsia="Arial" w:cs="Arial"/>
      <w:b/>
      <w:bCs/>
      <w:sz w:val="26"/>
      <w:szCs w:val="26"/>
    </w:rPr>
  </w:style>
  <w:style w:type="paragraph" w:styleId="1762">
    <w:name w:val="Heading 5"/>
    <w:basedOn w:val="1751"/>
    <w:next w:val="1751"/>
    <w:link w:val="1763"/>
    <w:uiPriority w:val="9"/>
    <w:unhideWhenUsed/>
    <w:qFormat/>
    <w:pPr>
      <w:keepLines/>
      <w:keepNext/>
      <w:spacing w:before="320" w:after="200"/>
      <w:outlineLvl w:val="4"/>
    </w:pPr>
    <w:rPr>
      <w:rFonts w:ascii="Arial" w:hAnsi="Arial" w:eastAsia="Arial" w:cs="Arial"/>
      <w:b/>
      <w:bCs/>
      <w:sz w:val="24"/>
      <w:szCs w:val="24"/>
    </w:rPr>
  </w:style>
  <w:style w:type="character" w:styleId="1763">
    <w:name w:val="Heading 5 Char"/>
    <w:basedOn w:val="1752"/>
    <w:link w:val="1762"/>
    <w:uiPriority w:val="9"/>
    <w:rPr>
      <w:rFonts w:ascii="Arial" w:hAnsi="Arial" w:eastAsia="Arial" w:cs="Arial"/>
      <w:b/>
      <w:bCs/>
      <w:sz w:val="24"/>
      <w:szCs w:val="24"/>
    </w:rPr>
  </w:style>
  <w:style w:type="paragraph" w:styleId="1764">
    <w:name w:val="Heading 6"/>
    <w:basedOn w:val="1751"/>
    <w:next w:val="1751"/>
    <w:link w:val="1765"/>
    <w:uiPriority w:val="9"/>
    <w:unhideWhenUsed/>
    <w:qFormat/>
    <w:pPr>
      <w:keepLines/>
      <w:keepNext/>
      <w:spacing w:before="320" w:after="200"/>
      <w:outlineLvl w:val="5"/>
    </w:pPr>
    <w:rPr>
      <w:rFonts w:ascii="Arial" w:hAnsi="Arial" w:eastAsia="Arial" w:cs="Arial"/>
      <w:b/>
      <w:bCs/>
      <w:sz w:val="22"/>
      <w:szCs w:val="22"/>
    </w:rPr>
  </w:style>
  <w:style w:type="character" w:styleId="1765">
    <w:name w:val="Heading 6 Char"/>
    <w:basedOn w:val="1752"/>
    <w:link w:val="1764"/>
    <w:uiPriority w:val="9"/>
    <w:rPr>
      <w:rFonts w:ascii="Arial" w:hAnsi="Arial" w:eastAsia="Arial" w:cs="Arial"/>
      <w:b/>
      <w:bCs/>
      <w:sz w:val="22"/>
      <w:szCs w:val="22"/>
    </w:rPr>
  </w:style>
  <w:style w:type="paragraph" w:styleId="1766">
    <w:name w:val="Heading 7"/>
    <w:basedOn w:val="1751"/>
    <w:next w:val="1751"/>
    <w:link w:val="1767"/>
    <w:uiPriority w:val="9"/>
    <w:unhideWhenUsed/>
    <w:qFormat/>
    <w:pPr>
      <w:keepLines/>
      <w:keepNext/>
      <w:spacing w:before="320" w:after="200"/>
      <w:outlineLvl w:val="6"/>
    </w:pPr>
    <w:rPr>
      <w:rFonts w:ascii="Arial" w:hAnsi="Arial" w:eastAsia="Arial" w:cs="Arial"/>
      <w:b/>
      <w:bCs/>
      <w:i/>
      <w:iCs/>
      <w:sz w:val="22"/>
      <w:szCs w:val="22"/>
    </w:rPr>
  </w:style>
  <w:style w:type="character" w:styleId="1767">
    <w:name w:val="Heading 7 Char"/>
    <w:basedOn w:val="1752"/>
    <w:link w:val="1766"/>
    <w:uiPriority w:val="9"/>
    <w:rPr>
      <w:rFonts w:ascii="Arial" w:hAnsi="Arial" w:eastAsia="Arial" w:cs="Arial"/>
      <w:b/>
      <w:bCs/>
      <w:i/>
      <w:iCs/>
      <w:sz w:val="22"/>
      <w:szCs w:val="22"/>
    </w:rPr>
  </w:style>
  <w:style w:type="paragraph" w:styleId="1768">
    <w:name w:val="Heading 8"/>
    <w:basedOn w:val="1751"/>
    <w:next w:val="1751"/>
    <w:link w:val="1769"/>
    <w:uiPriority w:val="9"/>
    <w:unhideWhenUsed/>
    <w:qFormat/>
    <w:pPr>
      <w:keepLines/>
      <w:keepNext/>
      <w:spacing w:before="320" w:after="200"/>
      <w:outlineLvl w:val="7"/>
    </w:pPr>
    <w:rPr>
      <w:rFonts w:ascii="Arial" w:hAnsi="Arial" w:eastAsia="Arial" w:cs="Arial"/>
      <w:i/>
      <w:iCs/>
      <w:sz w:val="22"/>
      <w:szCs w:val="22"/>
    </w:rPr>
  </w:style>
  <w:style w:type="character" w:styleId="1769">
    <w:name w:val="Heading 8 Char"/>
    <w:basedOn w:val="1752"/>
    <w:link w:val="1768"/>
    <w:uiPriority w:val="9"/>
    <w:rPr>
      <w:rFonts w:ascii="Arial" w:hAnsi="Arial" w:eastAsia="Arial" w:cs="Arial"/>
      <w:i/>
      <w:iCs/>
      <w:sz w:val="22"/>
      <w:szCs w:val="22"/>
    </w:rPr>
  </w:style>
  <w:style w:type="paragraph" w:styleId="1770">
    <w:name w:val="Heading 9"/>
    <w:basedOn w:val="1751"/>
    <w:next w:val="1751"/>
    <w:link w:val="1771"/>
    <w:uiPriority w:val="9"/>
    <w:unhideWhenUsed/>
    <w:qFormat/>
    <w:pPr>
      <w:keepLines/>
      <w:keepNext/>
      <w:spacing w:before="320" w:after="200"/>
      <w:outlineLvl w:val="8"/>
    </w:pPr>
    <w:rPr>
      <w:rFonts w:ascii="Arial" w:hAnsi="Arial" w:eastAsia="Arial" w:cs="Arial"/>
      <w:i/>
      <w:iCs/>
      <w:sz w:val="21"/>
      <w:szCs w:val="21"/>
    </w:rPr>
  </w:style>
  <w:style w:type="character" w:styleId="1771">
    <w:name w:val="Heading 9 Char"/>
    <w:basedOn w:val="1752"/>
    <w:link w:val="1770"/>
    <w:uiPriority w:val="9"/>
    <w:rPr>
      <w:rFonts w:ascii="Arial" w:hAnsi="Arial" w:eastAsia="Arial" w:cs="Arial"/>
      <w:i/>
      <w:iCs/>
      <w:sz w:val="21"/>
      <w:szCs w:val="21"/>
    </w:rPr>
  </w:style>
  <w:style w:type="paragraph" w:styleId="1772">
    <w:name w:val="List Paragraph"/>
    <w:basedOn w:val="1751"/>
    <w:uiPriority w:val="34"/>
    <w:qFormat/>
    <w:pPr>
      <w:contextualSpacing/>
      <w:ind w:left="720"/>
    </w:pPr>
  </w:style>
  <w:style w:type="table" w:styleId="1773" w:default="1">
    <w:name w:val="Normal Table"/>
    <w:uiPriority w:val="99"/>
    <w:semiHidden/>
    <w:unhideWhenUsed/>
    <w:tblPr>
      <w:tblInd w:w="0" w:type="dxa"/>
      <w:tblCellMar>
        <w:left w:w="108" w:type="dxa"/>
        <w:top w:w="0" w:type="dxa"/>
        <w:right w:w="108" w:type="dxa"/>
        <w:bottom w:w="0" w:type="dxa"/>
      </w:tblCellMar>
    </w:tblPr>
  </w:style>
  <w:style w:type="paragraph" w:styleId="1774">
    <w:name w:val="No Spacing"/>
    <w:uiPriority w:val="1"/>
    <w:qFormat/>
    <w:pPr>
      <w:spacing w:before="0" w:after="0" w:line="240" w:lineRule="auto"/>
    </w:pPr>
  </w:style>
  <w:style w:type="paragraph" w:styleId="1775">
    <w:name w:val="Title"/>
    <w:basedOn w:val="1751"/>
    <w:next w:val="1751"/>
    <w:link w:val="1776"/>
    <w:uiPriority w:val="10"/>
    <w:qFormat/>
    <w:pPr>
      <w:contextualSpacing/>
      <w:spacing w:before="300" w:after="200"/>
    </w:pPr>
    <w:rPr>
      <w:sz w:val="48"/>
      <w:szCs w:val="48"/>
    </w:rPr>
  </w:style>
  <w:style w:type="character" w:styleId="1776">
    <w:name w:val="Title Char"/>
    <w:basedOn w:val="1752"/>
    <w:link w:val="1775"/>
    <w:uiPriority w:val="10"/>
    <w:rPr>
      <w:sz w:val="48"/>
      <w:szCs w:val="48"/>
    </w:rPr>
  </w:style>
  <w:style w:type="paragraph" w:styleId="1777">
    <w:name w:val="Subtitle"/>
    <w:basedOn w:val="1751"/>
    <w:next w:val="1751"/>
    <w:link w:val="1778"/>
    <w:uiPriority w:val="11"/>
    <w:qFormat/>
    <w:pPr>
      <w:spacing w:before="200" w:after="200"/>
    </w:pPr>
    <w:rPr>
      <w:sz w:val="24"/>
      <w:szCs w:val="24"/>
    </w:rPr>
  </w:style>
  <w:style w:type="character" w:styleId="1778">
    <w:name w:val="Subtitle Char"/>
    <w:basedOn w:val="1752"/>
    <w:link w:val="1777"/>
    <w:uiPriority w:val="11"/>
    <w:rPr>
      <w:sz w:val="24"/>
      <w:szCs w:val="24"/>
    </w:rPr>
  </w:style>
  <w:style w:type="paragraph" w:styleId="1779">
    <w:name w:val="Quote"/>
    <w:basedOn w:val="1751"/>
    <w:next w:val="1751"/>
    <w:link w:val="1780"/>
    <w:uiPriority w:val="29"/>
    <w:qFormat/>
    <w:pPr>
      <w:ind w:left="720" w:right="720"/>
    </w:pPr>
    <w:rPr>
      <w:i/>
    </w:rPr>
  </w:style>
  <w:style w:type="character" w:styleId="1780">
    <w:name w:val="Quote Char"/>
    <w:link w:val="1779"/>
    <w:uiPriority w:val="29"/>
    <w:rPr>
      <w:i/>
    </w:rPr>
  </w:style>
  <w:style w:type="paragraph" w:styleId="1781">
    <w:name w:val="Intense Quote"/>
    <w:basedOn w:val="1751"/>
    <w:next w:val="1751"/>
    <w:link w:val="1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782">
    <w:name w:val="Intense Quote Char"/>
    <w:link w:val="1781"/>
    <w:uiPriority w:val="30"/>
    <w:rPr>
      <w:i/>
    </w:rPr>
  </w:style>
  <w:style w:type="paragraph" w:styleId="1783">
    <w:name w:val="Header"/>
    <w:basedOn w:val="1751"/>
    <w:link w:val="1784"/>
    <w:uiPriority w:val="99"/>
    <w:unhideWhenUsed/>
    <w:pPr>
      <w:spacing w:after="0" w:line="240" w:lineRule="auto"/>
      <w:tabs>
        <w:tab w:val="center" w:pos="7143" w:leader="none"/>
        <w:tab w:val="right" w:pos="14287" w:leader="none"/>
      </w:tabs>
    </w:pPr>
  </w:style>
  <w:style w:type="character" w:styleId="1784">
    <w:name w:val="Header Char"/>
    <w:basedOn w:val="1752"/>
    <w:link w:val="1783"/>
    <w:uiPriority w:val="99"/>
  </w:style>
  <w:style w:type="paragraph" w:styleId="1785">
    <w:name w:val="Footer"/>
    <w:basedOn w:val="1751"/>
    <w:link w:val="1788"/>
    <w:uiPriority w:val="99"/>
    <w:unhideWhenUsed/>
    <w:pPr>
      <w:spacing w:after="0" w:line="240" w:lineRule="auto"/>
      <w:tabs>
        <w:tab w:val="center" w:pos="7143" w:leader="none"/>
        <w:tab w:val="right" w:pos="14287" w:leader="none"/>
      </w:tabs>
    </w:pPr>
  </w:style>
  <w:style w:type="character" w:styleId="1786">
    <w:name w:val="Footer Char"/>
    <w:basedOn w:val="1752"/>
    <w:link w:val="1785"/>
    <w:uiPriority w:val="99"/>
  </w:style>
  <w:style w:type="paragraph" w:styleId="1787">
    <w:name w:val="Caption"/>
    <w:basedOn w:val="1751"/>
    <w:next w:val="1751"/>
    <w:uiPriority w:val="35"/>
    <w:semiHidden/>
    <w:unhideWhenUsed/>
    <w:qFormat/>
    <w:pPr>
      <w:spacing w:line="276" w:lineRule="auto"/>
    </w:pPr>
    <w:rPr>
      <w:b/>
      <w:bCs/>
      <w:color w:val="4f81bd" w:themeColor="accent1"/>
      <w:sz w:val="18"/>
      <w:szCs w:val="18"/>
    </w:rPr>
  </w:style>
  <w:style w:type="character" w:styleId="1788">
    <w:name w:val="Caption Char"/>
    <w:basedOn w:val="1787"/>
    <w:link w:val="1785"/>
    <w:uiPriority w:val="99"/>
  </w:style>
  <w:style w:type="table" w:styleId="1789">
    <w:name w:val="Table Grid"/>
    <w:basedOn w:val="177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790">
    <w:name w:val="Table Grid Light"/>
    <w:basedOn w:val="17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791">
    <w:name w:val="Plain Table 1"/>
    <w:basedOn w:val="17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792">
    <w:name w:val="Plain Table 2"/>
    <w:basedOn w:val="17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793">
    <w:name w:val="Plain Table 3"/>
    <w:basedOn w:val="1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794">
    <w:name w:val="Plain Table 4"/>
    <w:basedOn w:val="1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795">
    <w:name w:val="Plain Table 5"/>
    <w:basedOn w:val="1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796">
    <w:name w:val="Grid Table 1 Light"/>
    <w:basedOn w:val="17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797">
    <w:name w:val="Grid Table 1 Light - Accent 1"/>
    <w:basedOn w:val="17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798">
    <w:name w:val="Grid Table 1 Light - Accent 2"/>
    <w:basedOn w:val="17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799">
    <w:name w:val="Grid Table 1 Light - Accent 3"/>
    <w:basedOn w:val="17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800">
    <w:name w:val="Grid Table 1 Light - Accent 4"/>
    <w:basedOn w:val="17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801">
    <w:name w:val="Grid Table 1 Light - Accent 5"/>
    <w:basedOn w:val="17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802">
    <w:name w:val="Grid Table 1 Light - Accent 6"/>
    <w:basedOn w:val="17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803">
    <w:name w:val="Grid Table 2"/>
    <w:basedOn w:val="17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804">
    <w:name w:val="Grid Table 2 - Accent 1"/>
    <w:basedOn w:val="17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805">
    <w:name w:val="Grid Table 2 - Accent 2"/>
    <w:basedOn w:val="17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806">
    <w:name w:val="Grid Table 2 - Accent 3"/>
    <w:basedOn w:val="17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807">
    <w:name w:val="Grid Table 2 - Accent 4"/>
    <w:basedOn w:val="17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808">
    <w:name w:val="Grid Table 2 - Accent 5"/>
    <w:basedOn w:val="17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809">
    <w:name w:val="Grid Table 2 - Accent 6"/>
    <w:basedOn w:val="17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810">
    <w:name w:val="Grid Table 3"/>
    <w:basedOn w:val="17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811">
    <w:name w:val="Grid Table 3 - Accent 1"/>
    <w:basedOn w:val="17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812">
    <w:name w:val="Grid Table 3 - Accent 2"/>
    <w:basedOn w:val="17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813">
    <w:name w:val="Grid Table 3 - Accent 3"/>
    <w:basedOn w:val="17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814">
    <w:name w:val="Grid Table 3 - Accent 4"/>
    <w:basedOn w:val="17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815">
    <w:name w:val="Grid Table 3 - Accent 5"/>
    <w:basedOn w:val="17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816">
    <w:name w:val="Grid Table 3 - Accent 6"/>
    <w:basedOn w:val="17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817">
    <w:name w:val="Grid Table 4"/>
    <w:basedOn w:val="17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818">
    <w:name w:val="Grid Table 4 - Accent 1"/>
    <w:basedOn w:val="17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819">
    <w:name w:val="Grid Table 4 - Accent 2"/>
    <w:basedOn w:val="17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820">
    <w:name w:val="Grid Table 4 - Accent 3"/>
    <w:basedOn w:val="17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821">
    <w:name w:val="Grid Table 4 - Accent 4"/>
    <w:basedOn w:val="17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822">
    <w:name w:val="Grid Table 4 - Accent 5"/>
    <w:basedOn w:val="17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823">
    <w:name w:val="Grid Table 4 - Accent 6"/>
    <w:basedOn w:val="17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824">
    <w:name w:val="Grid Table 5 Dark"/>
    <w:basedOn w:val="17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825">
    <w:name w:val="Grid Table 5 Dark- Accent 1"/>
    <w:basedOn w:val="17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826">
    <w:name w:val="Grid Table 5 Dark - Accent 2"/>
    <w:basedOn w:val="17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827">
    <w:name w:val="Grid Table 5 Dark - Accent 3"/>
    <w:basedOn w:val="17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828">
    <w:name w:val="Grid Table 5 Dark- Accent 4"/>
    <w:basedOn w:val="17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829">
    <w:name w:val="Grid Table 5 Dark - Accent 5"/>
    <w:basedOn w:val="17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830">
    <w:name w:val="Grid Table 5 Dark - Accent 6"/>
    <w:basedOn w:val="17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831">
    <w:name w:val="Grid Table 6 Colorful"/>
    <w:basedOn w:val="17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832">
    <w:name w:val="Grid Table 6 Colorful - Accent 1"/>
    <w:basedOn w:val="17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833">
    <w:name w:val="Grid Table 6 Colorful - Accent 2"/>
    <w:basedOn w:val="17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834">
    <w:name w:val="Grid Table 6 Colorful - Accent 3"/>
    <w:basedOn w:val="17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835">
    <w:name w:val="Grid Table 6 Colorful - Accent 4"/>
    <w:basedOn w:val="17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836">
    <w:name w:val="Grid Table 6 Colorful - Accent 5"/>
    <w:basedOn w:val="17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837">
    <w:name w:val="Grid Table 6 Colorful - Accent 6"/>
    <w:basedOn w:val="17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838">
    <w:name w:val="Grid Table 7 Colorful"/>
    <w:basedOn w:val="17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839">
    <w:name w:val="Grid Table 7 Colorful - Accent 1"/>
    <w:basedOn w:val="17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840">
    <w:name w:val="Grid Table 7 Colorful - Accent 2"/>
    <w:basedOn w:val="17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841">
    <w:name w:val="Grid Table 7 Colorful - Accent 3"/>
    <w:basedOn w:val="17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842">
    <w:name w:val="Grid Table 7 Colorful - Accent 4"/>
    <w:basedOn w:val="17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843">
    <w:name w:val="Grid Table 7 Colorful - Accent 5"/>
    <w:basedOn w:val="17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844">
    <w:name w:val="Grid Table 7 Colorful - Accent 6"/>
    <w:basedOn w:val="17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845">
    <w:name w:val="List Table 1 Light"/>
    <w:basedOn w:val="17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846">
    <w:name w:val="List Table 1 Light - Accent 1"/>
    <w:basedOn w:val="177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847">
    <w:name w:val="List Table 1 Light - Accent 2"/>
    <w:basedOn w:val="177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848">
    <w:name w:val="List Table 1 Light - Accent 3"/>
    <w:basedOn w:val="177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849">
    <w:name w:val="List Table 1 Light - Accent 4"/>
    <w:basedOn w:val="177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850">
    <w:name w:val="List Table 1 Light - Accent 5"/>
    <w:basedOn w:val="177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851">
    <w:name w:val="List Table 1 Light - Accent 6"/>
    <w:basedOn w:val="177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852">
    <w:name w:val="List Table 2"/>
    <w:basedOn w:val="17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853">
    <w:name w:val="List Table 2 - Accent 1"/>
    <w:basedOn w:val="17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854">
    <w:name w:val="List Table 2 - Accent 2"/>
    <w:basedOn w:val="17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855">
    <w:name w:val="List Table 2 - Accent 3"/>
    <w:basedOn w:val="17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856">
    <w:name w:val="List Table 2 - Accent 4"/>
    <w:basedOn w:val="17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857">
    <w:name w:val="List Table 2 - Accent 5"/>
    <w:basedOn w:val="17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858">
    <w:name w:val="List Table 2 - Accent 6"/>
    <w:basedOn w:val="17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859">
    <w:name w:val="List Table 3"/>
    <w:basedOn w:val="17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860">
    <w:name w:val="List Table 3 - Accent 1"/>
    <w:basedOn w:val="17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861">
    <w:name w:val="List Table 3 - Accent 2"/>
    <w:basedOn w:val="17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862">
    <w:name w:val="List Table 3 - Accent 3"/>
    <w:basedOn w:val="17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863">
    <w:name w:val="List Table 3 - Accent 4"/>
    <w:basedOn w:val="17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864">
    <w:name w:val="List Table 3 - Accent 5"/>
    <w:basedOn w:val="17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865">
    <w:name w:val="List Table 3 - Accent 6"/>
    <w:basedOn w:val="17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866">
    <w:name w:val="List Table 4"/>
    <w:basedOn w:val="17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867">
    <w:name w:val="List Table 4 - Accent 1"/>
    <w:basedOn w:val="17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868">
    <w:name w:val="List Table 4 - Accent 2"/>
    <w:basedOn w:val="17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869">
    <w:name w:val="List Table 4 - Accent 3"/>
    <w:basedOn w:val="17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870">
    <w:name w:val="List Table 4 - Accent 4"/>
    <w:basedOn w:val="17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871">
    <w:name w:val="List Table 4 - Accent 5"/>
    <w:basedOn w:val="17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872">
    <w:name w:val="List Table 4 - Accent 6"/>
    <w:basedOn w:val="17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873">
    <w:name w:val="List Table 5 Dark"/>
    <w:basedOn w:val="17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874">
    <w:name w:val="List Table 5 Dark - Accent 1"/>
    <w:basedOn w:val="17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875">
    <w:name w:val="List Table 5 Dark - Accent 2"/>
    <w:basedOn w:val="17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876">
    <w:name w:val="List Table 5 Dark - Accent 3"/>
    <w:basedOn w:val="17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877">
    <w:name w:val="List Table 5 Dark - Accent 4"/>
    <w:basedOn w:val="17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878">
    <w:name w:val="List Table 5 Dark - Accent 5"/>
    <w:basedOn w:val="17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879">
    <w:name w:val="List Table 5 Dark - Accent 6"/>
    <w:basedOn w:val="17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880">
    <w:name w:val="List Table 6 Colorful"/>
    <w:basedOn w:val="17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881">
    <w:name w:val="List Table 6 Colorful - Accent 1"/>
    <w:basedOn w:val="17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882">
    <w:name w:val="List Table 6 Colorful - Accent 2"/>
    <w:basedOn w:val="17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883">
    <w:name w:val="List Table 6 Colorful - Accent 3"/>
    <w:basedOn w:val="17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884">
    <w:name w:val="List Table 6 Colorful - Accent 4"/>
    <w:basedOn w:val="17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885">
    <w:name w:val="List Table 6 Colorful - Accent 5"/>
    <w:basedOn w:val="17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886">
    <w:name w:val="List Table 6 Colorful - Accent 6"/>
    <w:basedOn w:val="17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887">
    <w:name w:val="List Table 7 Colorful"/>
    <w:basedOn w:val="17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888">
    <w:name w:val="List Table 7 Colorful - Accent 1"/>
    <w:basedOn w:val="17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889">
    <w:name w:val="List Table 7 Colorful - Accent 2"/>
    <w:basedOn w:val="17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890">
    <w:name w:val="List Table 7 Colorful - Accent 3"/>
    <w:basedOn w:val="17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891">
    <w:name w:val="List Table 7 Colorful - Accent 4"/>
    <w:basedOn w:val="17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892">
    <w:name w:val="List Table 7 Colorful - Accent 5"/>
    <w:basedOn w:val="17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893">
    <w:name w:val="List Table 7 Colorful - Accent 6"/>
    <w:basedOn w:val="17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894">
    <w:name w:val="Lined - Accent"/>
    <w:basedOn w:val="17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895">
    <w:name w:val="Lined - Accent 1"/>
    <w:basedOn w:val="17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896">
    <w:name w:val="Lined - Accent 2"/>
    <w:basedOn w:val="17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897">
    <w:name w:val="Lined - Accent 3"/>
    <w:basedOn w:val="17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898">
    <w:name w:val="Lined - Accent 4"/>
    <w:basedOn w:val="17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899">
    <w:name w:val="Lined - Accent 5"/>
    <w:basedOn w:val="17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900">
    <w:name w:val="Lined - Accent 6"/>
    <w:basedOn w:val="17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901">
    <w:name w:val="Bordered &amp; Lined - Accent"/>
    <w:basedOn w:val="17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902">
    <w:name w:val="Bordered &amp; Lined - Accent 1"/>
    <w:basedOn w:val="17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903">
    <w:name w:val="Bordered &amp; Lined - Accent 2"/>
    <w:basedOn w:val="17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904">
    <w:name w:val="Bordered &amp; Lined - Accent 3"/>
    <w:basedOn w:val="17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905">
    <w:name w:val="Bordered &amp; Lined - Accent 4"/>
    <w:basedOn w:val="17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906">
    <w:name w:val="Bordered &amp; Lined - Accent 5"/>
    <w:basedOn w:val="17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907">
    <w:name w:val="Bordered &amp; Lined - Accent 6"/>
    <w:basedOn w:val="17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908">
    <w:name w:val="Bordered"/>
    <w:basedOn w:val="17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909">
    <w:name w:val="Bordered - Accent 1"/>
    <w:basedOn w:val="17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910">
    <w:name w:val="Bordered - Accent 2"/>
    <w:basedOn w:val="17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911">
    <w:name w:val="Bordered - Accent 3"/>
    <w:basedOn w:val="17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912">
    <w:name w:val="Bordered - Accent 4"/>
    <w:basedOn w:val="17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913">
    <w:name w:val="Bordered - Accent 5"/>
    <w:basedOn w:val="17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914">
    <w:name w:val="Bordered - Accent 6"/>
    <w:basedOn w:val="17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915">
    <w:name w:val="Hyperlink"/>
    <w:uiPriority w:val="99"/>
    <w:unhideWhenUsed/>
    <w:rPr>
      <w:color w:val="0000ff" w:themeColor="hyperlink"/>
      <w:u w:val="single"/>
    </w:rPr>
  </w:style>
  <w:style w:type="paragraph" w:styleId="1916">
    <w:name w:val="footnote text"/>
    <w:basedOn w:val="1751"/>
    <w:link w:val="1917"/>
    <w:uiPriority w:val="99"/>
    <w:semiHidden/>
    <w:unhideWhenUsed/>
    <w:pPr>
      <w:spacing w:after="40" w:line="240" w:lineRule="auto"/>
    </w:pPr>
    <w:rPr>
      <w:sz w:val="18"/>
    </w:rPr>
  </w:style>
  <w:style w:type="character" w:styleId="1917">
    <w:name w:val="Footnote Text Char"/>
    <w:link w:val="1916"/>
    <w:uiPriority w:val="99"/>
    <w:rPr>
      <w:sz w:val="18"/>
    </w:rPr>
  </w:style>
  <w:style w:type="character" w:styleId="1918">
    <w:name w:val="footnote reference"/>
    <w:basedOn w:val="1752"/>
    <w:uiPriority w:val="99"/>
    <w:unhideWhenUsed/>
    <w:rPr>
      <w:vertAlign w:val="superscript"/>
    </w:rPr>
  </w:style>
  <w:style w:type="paragraph" w:styleId="1919">
    <w:name w:val="endnote text"/>
    <w:basedOn w:val="1751"/>
    <w:link w:val="1920"/>
    <w:uiPriority w:val="99"/>
    <w:semiHidden/>
    <w:unhideWhenUsed/>
    <w:pPr>
      <w:spacing w:after="0" w:line="240" w:lineRule="auto"/>
    </w:pPr>
    <w:rPr>
      <w:sz w:val="20"/>
    </w:rPr>
  </w:style>
  <w:style w:type="character" w:styleId="1920">
    <w:name w:val="Endnote Text Char"/>
    <w:link w:val="1919"/>
    <w:uiPriority w:val="99"/>
    <w:rPr>
      <w:sz w:val="20"/>
    </w:rPr>
  </w:style>
  <w:style w:type="character" w:styleId="1921">
    <w:name w:val="endnote reference"/>
    <w:basedOn w:val="1752"/>
    <w:uiPriority w:val="99"/>
    <w:semiHidden/>
    <w:unhideWhenUsed/>
    <w:rPr>
      <w:vertAlign w:val="superscript"/>
    </w:rPr>
  </w:style>
  <w:style w:type="paragraph" w:styleId="1922">
    <w:name w:val="toc 1"/>
    <w:basedOn w:val="1751"/>
    <w:next w:val="1751"/>
    <w:uiPriority w:val="39"/>
    <w:unhideWhenUsed/>
    <w:pPr>
      <w:ind w:left="0" w:right="0" w:firstLine="0"/>
      <w:spacing w:after="57"/>
    </w:pPr>
  </w:style>
  <w:style w:type="paragraph" w:styleId="1923">
    <w:name w:val="toc 2"/>
    <w:basedOn w:val="1751"/>
    <w:next w:val="1751"/>
    <w:uiPriority w:val="39"/>
    <w:unhideWhenUsed/>
    <w:pPr>
      <w:ind w:left="283" w:right="0" w:firstLine="0"/>
      <w:spacing w:after="57"/>
    </w:pPr>
  </w:style>
  <w:style w:type="paragraph" w:styleId="1924">
    <w:name w:val="toc 3"/>
    <w:basedOn w:val="1751"/>
    <w:next w:val="1751"/>
    <w:uiPriority w:val="39"/>
    <w:unhideWhenUsed/>
    <w:pPr>
      <w:ind w:left="567" w:right="0" w:firstLine="0"/>
      <w:spacing w:after="57"/>
    </w:pPr>
  </w:style>
  <w:style w:type="paragraph" w:styleId="1925">
    <w:name w:val="toc 4"/>
    <w:basedOn w:val="1751"/>
    <w:next w:val="1751"/>
    <w:uiPriority w:val="39"/>
    <w:unhideWhenUsed/>
    <w:pPr>
      <w:ind w:left="850" w:right="0" w:firstLine="0"/>
      <w:spacing w:after="57"/>
    </w:pPr>
  </w:style>
  <w:style w:type="paragraph" w:styleId="1926">
    <w:name w:val="toc 5"/>
    <w:basedOn w:val="1751"/>
    <w:next w:val="1751"/>
    <w:uiPriority w:val="39"/>
    <w:unhideWhenUsed/>
    <w:pPr>
      <w:ind w:left="1134" w:right="0" w:firstLine="0"/>
      <w:spacing w:after="57"/>
    </w:pPr>
  </w:style>
  <w:style w:type="paragraph" w:styleId="1927">
    <w:name w:val="toc 6"/>
    <w:basedOn w:val="1751"/>
    <w:next w:val="1751"/>
    <w:uiPriority w:val="39"/>
    <w:unhideWhenUsed/>
    <w:pPr>
      <w:ind w:left="1417" w:right="0" w:firstLine="0"/>
      <w:spacing w:after="57"/>
    </w:pPr>
  </w:style>
  <w:style w:type="paragraph" w:styleId="1928">
    <w:name w:val="toc 7"/>
    <w:basedOn w:val="1751"/>
    <w:next w:val="1751"/>
    <w:uiPriority w:val="39"/>
    <w:unhideWhenUsed/>
    <w:pPr>
      <w:ind w:left="1701" w:right="0" w:firstLine="0"/>
      <w:spacing w:after="57"/>
    </w:pPr>
  </w:style>
  <w:style w:type="paragraph" w:styleId="1929">
    <w:name w:val="toc 8"/>
    <w:basedOn w:val="1751"/>
    <w:next w:val="1751"/>
    <w:uiPriority w:val="39"/>
    <w:unhideWhenUsed/>
    <w:pPr>
      <w:ind w:left="1984" w:right="0" w:firstLine="0"/>
      <w:spacing w:after="57"/>
    </w:pPr>
  </w:style>
  <w:style w:type="paragraph" w:styleId="1930">
    <w:name w:val="toc 9"/>
    <w:basedOn w:val="1751"/>
    <w:next w:val="1751"/>
    <w:uiPriority w:val="39"/>
    <w:unhideWhenUsed/>
    <w:pPr>
      <w:ind w:left="2268" w:right="0" w:firstLine="0"/>
      <w:spacing w:after="57"/>
    </w:pPr>
  </w:style>
  <w:style w:type="paragraph" w:styleId="1931">
    <w:name w:val="TOC Heading"/>
    <w:uiPriority w:val="39"/>
    <w:unhideWhenUsed/>
  </w:style>
  <w:style w:type="paragraph" w:styleId="1932">
    <w:name w:val="table of figures"/>
    <w:basedOn w:val="1751"/>
    <w:next w:val="1751"/>
    <w:uiPriority w:val="99"/>
    <w:unhideWhenUsed/>
    <w:pPr>
      <w:spacing w:after="0" w:afterAutospacing="0"/>
    </w:pPr>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宿迁恒新工程项目咨询有限公司</cp:lastModifiedBy>
  <cp:revision>9</cp:revision>
  <dcterms:created xsi:type="dcterms:W3CDTF">2023-03-28T07:28:00Z</dcterms:created>
  <dcterms:modified xsi:type="dcterms:W3CDTF">2026-05-25T10:56:22Z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69AD7ADFDCCC4DF59565F41AC6DDC19C_13</vt:lpwstr>
  </property>
  <property fmtid="{D5CDD505-2E9C-101B-9397-08002B2CF9AE}" pid="4" name="KSOTemplateDocerSaveRecord">
    <vt:lpwstr>eyJoZGlkIjoiZDI2MzY5YzJkMjVhN2U0ODRiYzFmOGU1YTMyMWFlNmUiLCJ1c2VySWQiOiI0MTAzODI5MzAifQ==</vt:lpwstr>
  </property>
</Properties>
</file>